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88R18888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 Jetton, Geren</w:t>
      </w:r>
      <w:r xml:space="preserve">
        <w:tab wTab="150" tlc="none" cTlc="0"/>
      </w:r>
      <w:r>
        <w:t xml:space="preserve">H.B.</w:t>
      </w:r>
      <w:r xml:space="preserve">
        <w:t> </w:t>
      </w:r>
      <w:r>
        <w:t xml:space="preserve">No.</w:t>
      </w:r>
      <w:r xml:space="preserve">
        <w:t> </w:t>
      </w:r>
      <w:r>
        <w:t xml:space="preserve">537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537:</w:t>
      </w: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C.S.H.B.</w:t>
      </w:r>
      <w:r xml:space="preserve">
        <w:t> </w:t>
      </w:r>
      <w:r>
        <w:t xml:space="preserve">No.</w:t>
      </w:r>
      <w:r xml:space="preserve">
        <w:t> </w:t>
      </w:r>
      <w:r>
        <w:t xml:space="preserve">537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access to the audit records of certain governmental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5, Government Code, is amended by adding Chapter 561 to read as follows:</w:t>
      </w:r>
    </w:p>
    <w:p w:rsidR="003F3435" w:rsidRDefault="0032493E">
      <w:pPr>
        <w:spacing w:line="480" w:lineRule="auto"/>
        <w:jc w:val="center"/>
      </w:pPr>
      <w:r>
        <w:rPr>
          <w:u w:val="single"/>
        </w:rPr>
        <w:t xml:space="preserve">CHAPTER 561.  AUDIT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"Audit"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financial audit described by Section 321.0131;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compliance audit described by Section 321.0132;</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economy and efficiency audit described by Section 321.0133;</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effectiveness audit described by Section 321.0134;</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investigation described by Section 321.0136;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internal or independent external audit initiated or commissioned by the governing body of a governmental entity described by Subdivision (2)(B), (C), or (D) or the chief executive of a division or department of a governmental entity described by Subdivision (2)(B), (C), or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board, commission, department, committee, institution, agency, or office that is within or is created by the executive or legislative branch of state government and that is directed by one or more elected or appointed members;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 commissioners court in the state;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municipal governing body in the state;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deliberative body that has rulemaking or quasi-judicial power and that is classified as a department, agency, or political subdivision of a county or municipality.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"Records" does not include audit working papers as defined by Section 552.116.</w:t>
      </w:r>
    </w:p>
    <w:p w:rsidR="003F3435" w:rsidRDefault="0032493E">
      <w:pPr>
        <w:spacing w:line="480" w:lineRule="auto"/>
        <w:ind w:firstLine="720"/>
        <w:jc w:val="both"/>
      </w:pPr>
      <w:r>
        <w:rPr>
          <w:u w:val="single"/>
        </w:rPr>
        <w:t xml:space="preserve">Sec.</w:t>
      </w:r>
      <w:r>
        <w:rPr>
          <w:u w:val="single"/>
        </w:rPr>
        <w:t xml:space="preserve"> </w:t>
      </w:r>
      <w:r>
        <w:rPr>
          <w:u w:val="single"/>
        </w:rPr>
        <w:t xml:space="preserve">561.002.</w:t>
      </w:r>
      <w:r>
        <w:rPr>
          <w:u w:val="single"/>
        </w:rPr>
        <w:t xml:space="preserve"> </w:t>
      </w:r>
      <w:r>
        <w:rPr>
          <w:u w:val="single"/>
        </w:rPr>
        <w:t xml:space="preserve"> </w:t>
      </w:r>
      <w:r>
        <w:rPr>
          <w:u w:val="single"/>
        </w:rPr>
        <w:t xml:space="preserve">AUDIT RECORDS.  (a) </w:t>
      </w:r>
      <w:r>
        <w:rPr>
          <w:u w:val="single"/>
        </w:rPr>
        <w:t xml:space="preserve"> </w:t>
      </w:r>
      <w:r>
        <w:rPr>
          <w:u w:val="single"/>
        </w:rPr>
        <w:t xml:space="preserve">A governmental entity that is the subject of an audit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the records relating to the audit, including any final report, available to the public on request under Chapter 552;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30th day after the date the audit is completed, post the final report for the audit: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the governmental entity's Internet website;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governmental entity does not have an Internet website, on a publicly accessible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entity may redact any confidential information from the report as necessary to comply with state or federal law, including any information that is confidential or not subject to disclosure under Chapter 552.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entity that, without good cause, fails to comply with this chapter is liable to a person for any reasonable expenses the person incurs trying to access the audit records, including reasonable attorney's fees.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Except as provided by Subsection (b) of this section, Chapter 561, Government Code, as added by this Act, applies only to an audit performed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561.002(a)(1), Government Code, as added by this Act, applies to an audit performed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