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88R958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537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access to the audit records of certain governmental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5, Government Code, is amended by adding Chapter 561 to read as follows:</w:t>
      </w:r>
    </w:p>
    <w:p w:rsidR="003F3435" w:rsidRDefault="0032493E">
      <w:pPr>
        <w:spacing w:line="480" w:lineRule="auto"/>
        <w:jc w:val="center"/>
      </w:pPr>
      <w:r>
        <w:rPr>
          <w:u w:val="single"/>
        </w:rPr>
        <w:t xml:space="preserve">CHAPTER 561.  AUDIT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"Audit"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financial audit described by Section 321.0131;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compliance audit described by Section 321.0132;</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economy and efficiency audit described by Section 321.0133;</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effectiveness audit described by Section 321.0134;</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investigation described by Section 321.0136;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internal or independent external audit initiated or commissioned by the governing body of a governmental entity described by Subdivision (2)(B), (C), or (D) or the chief executive of a division or department of a governmental entity described by Subdivision (2)(B), (C), or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board, commission, department, committee, institution, agency, or office that is within or is created by the executive or legislative branch of state government and that is directed by one or more elected or appointed members;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commissioners court in the state;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municipal governing body in the state;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deliberative body that has rulemaking or quasi-judicial power and that is classified as a department, agency, or political subdivision of a county or municipality.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"Records" does not include audit working papers as defined by Section 552.116.</w:t>
      </w:r>
    </w:p>
    <w:p w:rsidR="003F3435" w:rsidRDefault="0032493E">
      <w:pPr>
        <w:spacing w:line="480" w:lineRule="auto"/>
        <w:ind w:firstLine="720"/>
        <w:jc w:val="both"/>
      </w:pPr>
      <w:r>
        <w:rPr>
          <w:u w:val="single"/>
        </w:rPr>
        <w:t xml:space="preserve">Sec.</w:t>
      </w:r>
      <w:r>
        <w:rPr>
          <w:u w:val="single"/>
        </w:rPr>
        <w:t xml:space="preserve"> </w:t>
      </w:r>
      <w:r>
        <w:rPr>
          <w:u w:val="single"/>
        </w:rPr>
        <w:t xml:space="preserve">561.002.</w:t>
      </w:r>
      <w:r>
        <w:rPr>
          <w:u w:val="single"/>
        </w:rPr>
        <w:t xml:space="preserve"> </w:t>
      </w:r>
      <w:r>
        <w:rPr>
          <w:u w:val="single"/>
        </w:rPr>
        <w:t xml:space="preserve"> </w:t>
      </w:r>
      <w:r>
        <w:rPr>
          <w:u w:val="single"/>
        </w:rPr>
        <w:t xml:space="preserve">AUDIT RECORDS.  (a) </w:t>
      </w:r>
      <w:r>
        <w:rPr>
          <w:u w:val="single"/>
        </w:rPr>
        <w:t xml:space="preserve"> </w:t>
      </w:r>
      <w:r>
        <w:rPr>
          <w:u w:val="single"/>
        </w:rPr>
        <w:t xml:space="preserve">A governmental entity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the records relating to any audit of the governmental entity, including any final report, available to the public on request;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30th day after the date the audit is completed, post the final report for the audit: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governmental entity's Internet website;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governmental entity does not have an Internet website, on a publicly accessible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entity may redact any confidential information from the report as necessary to comply with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entity that, without good cause, fails to comply with this chapter is liable to a person for any reasonable expenses the person incurs trying to access the audit records, including reasonable attorney's fees.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Except as provided by Subsection (b) of this section, Chapter 561, Government Code, as added by this Act, applies only to an audit performed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561.002(a)(1), Government Code, as added by this Act, applies to an audit performed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