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88R24832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portions of the state highway system as memorial highways for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225.0743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225.0743.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VETERANS MEMORIAL HIGHWAY.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portion of State Highway 105 in Liberty County from Business State Highway 105-T to State Highway 321 is designated as the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225.126, Transportation Code, is redesignated as Section 225.0742, Transportation Code,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225.0742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225.126</w:t>
      </w:r>
      <w:r>
        <w:t xml:space="preserve">].</w:t>
      </w:r>
      <w:r xml:space="preserve">
        <w:t> </w:t>
      </w:r>
      <w:r xml:space="preserve">
        <w:t> </w:t>
      </w:r>
      <w:r>
        <w:t xml:space="preserve">VETERANS MEMORIAL HIGHWAY.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The portion of U.S. Highway 271 in Camp County is designated as the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design and construct markers indicating the designation as the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