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88R19346 MCF-F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Longoria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donations to certain local charities or veterans county service offices ordered to be paid as a condition of community supervision.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42A.304(f),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Instead of requiring the defendant to work a specified number of hours at one or more community service projects under Subsection (a), the judge may order a defendant to make a specified donation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nonprofit food bank or food pantry in the community in which the defendant resides;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charitable organization engaged primarily in performing charitable functions [</w:t>
      </w:r>
      <w:r>
        <w:rPr>
          <w:strike/>
        </w:rPr>
        <w:t xml:space="preserve">for veterans</w:t>
      </w:r>
      <w:r>
        <w:t xml:space="preserve">] in the community in which the defendant resides </w:t>
      </w:r>
      <w:r>
        <w:rPr>
          <w:u w:val="single"/>
        </w:rPr>
        <w:t xml:space="preserve">for defendants under community supervision or for veterans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veterans county service office created under Subchapter B, Chapter 434, Government Code, and operating in the county in which the defendant resides;</w:t>
      </w:r>
      <w:r>
        <w:t xml:space="preserve"> </w:t>
      </w:r>
      <w:r>
        <w:t xml:space="preserve">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in a county with a population of less than 50,000, another nonprofit organization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exempt from taxation under Section 501(a) of the Internal Revenue Code of 1986 because it is listed in Section 501(c)(3) of that code;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provides services or assistance to needy individuals and families in the community in which the defendant resides.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434.032(c),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commissioners court of a county that maintains an office: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may not consider </w:t>
      </w:r>
      <w:r>
        <w:rPr>
          <w:u w:val="single"/>
        </w:rPr>
        <w:t xml:space="preserve">donations made</w:t>
      </w:r>
      <w:r>
        <w:t xml:space="preserve"> [</w:t>
      </w:r>
      <w:r>
        <w:rPr>
          <w:strike/>
        </w:rPr>
        <w:t xml:space="preserve">a juror's donation</w:t>
      </w:r>
      <w:r>
        <w:t xml:space="preserve">] to the office [</w:t>
      </w:r>
      <w:r>
        <w:rPr>
          <w:strike/>
        </w:rPr>
        <w:t xml:space="preserve">of the juror's daily reimbursement</w:t>
      </w:r>
      <w:r>
        <w:t xml:space="preserve">] under </w:t>
      </w:r>
      <w:r>
        <w:rPr>
          <w:u w:val="single"/>
        </w:rPr>
        <w:t xml:space="preserve">Article 42A.304(f), Code of Criminal Procedure, or</w:t>
      </w:r>
      <w:r>
        <w:t xml:space="preserve"> Section 61.003 for purposes of determining the county's budget for the office;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use donations described by Subdivision (1) only to supplement, rather than supplant, amounts budgeted by the county for the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