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88R2320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donations to certain local charities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[</w:t>
      </w:r>
      <w:r>
        <w:rPr>
          <w:strike/>
        </w:rPr>
        <w:t xml:space="preserve">for veterans</w:t>
      </w:r>
      <w:r>
        <w:t xml:space="preserve">] in the community in which the defendant resides </w:t>
      </w:r>
      <w:r>
        <w:rPr>
          <w:u w:val="single"/>
        </w:rPr>
        <w:t xml:space="preserve">for defendants under community supervision or for veterans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