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88R1682 CJC-F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550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municipal hotel occupancy tax revenue for certain infrastructure projects and public parks.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351, Tax Code, is amended by adding Section 351.1011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351.1011.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TAX REVENUE FOR CERTAIN INFRASTRUCTURE PROJECTS AND PUBLIC PARKS.  (a)  In this section, "qualified infrastructure" means: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road, street, highway, bridge, overpass, underpass, or interchange: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from which an entrance to a hotel is accessible;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constitutes, wholly or partly, the shortest route between a hotel and a state highway, interstate highway, public beach, visitor or tourism information center, or convention center facility or complex that is located within five miles of the hotel;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water supply system from which a hotel receives water;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sanitary sewer system into which a hotel discharges wastewater;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storm drainage system into which runoff from a hotel flows.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the purposes provided by Section 351.101(a), a municipality may use revenue from the municipal hotel occupancy tax to promote tourism and the convention and hotel industry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acquiring, constructing, repairing, remodeling, or expanding qualified infrastructure that is owned by the municipality and that is located not more than one mile from a hotel;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making improvements to a public park that is owned by the municipality and that is located not more than one mile from a hotel.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amount of municipal hotel occupancy tax revenue a municipality may use in a fiscal year for a purpose authorized under this section may not exceed 20 percent of the amount of revenue the municipality collected from that tax during the preceding fiscal year.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that uses municipal hotel occupancy tax revenue under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may, notwithstanding the limitation under Subsection (c), reserve not more than 20 percent of the revenue from that tax collected in a fiscal year for use under this section during the succeeding three fiscal years;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reduce the percentage of revenue from that tax allocated for a purpose described by Section 351.101(a)(3) to a percentage that is less than the average percentage of the revenue from that tax allocated by the municipality for the purpose described by Section 351.101(a)(3) during the 36-month period preceding the date the municipality begins using revenue for a purpose described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