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Troxclair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553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authority of a political subdivision to provide a universal basic income.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140, Local Government Code, is amended by adding Section 140.014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140.014.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PROHIBITION ON PROVIDING UNIVERSAL BASIC INCOME.  (a) </w:t>
      </w:r>
      <w:r>
        <w:rPr>
          <w:u w:val="single"/>
        </w:rPr>
        <w:t xml:space="preserve"> </w:t>
      </w:r>
      <w:r>
        <w:rPr>
          <w:u w:val="single"/>
        </w:rPr>
        <w:t xml:space="preserve">In this section, "universal basic income" means unconditional cash grants of equal amounts issued on a regular basis to individual residents of a political subdivision. The term includes a basic income, monthly income, or minimum income paid to each individual resident of the political subdivision without regard to the individual's circumstances.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Notwithstanding any other law, a political subdivision may not adopt or enforce an ordinance, order, or other measure providing for a universal basic income.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