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88R1680 AJA-D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sealing of certain documents alleged to contain trade secrets.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22.010.</w:t>
      </w:r>
      <w:r xml:space="preserve">
        <w:t> </w:t>
      </w:r>
      <w:r xml:space="preserve">
        <w:t> </w:t>
      </w:r>
      <w:r>
        <w:t xml:space="preserve">SEALING OF COURT RECORDS.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supreme court shall adopt rules establishing guidelines for the courts of this state to use in determining whether in the interest of justice the records in a civil case, including settlements, should be sealed.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shall adopt rules allowing for documents alleged to contain trade secrets to be filed under seal.  The rules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document to be accompanied by an affidavit that describes the document and the basis for claiming a trade secret privilege with respect to the document;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that the affidavit is open to public inspection;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any person to move to unseal the document;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for the unsealing of the document or a portion of the document only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sufficient showing by the moving party of a specific, serious, and substantial interest that clearly outweighs a presumption in favor of preserving the secrecy of trade secrets;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by the court that the document or the portion of the document does not contain a trade secret.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Supreme Court of Texas shall adopt rules implementing Section 22.010, Government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