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562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information received or maintained by the Veterans' Land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161, Natural Resources Code, is amended by adding Section 161.080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161.080.</w:t>
      </w:r>
      <w:r>
        <w:rPr>
          <w:u w:val="single"/>
        </w:rPr>
        <w:t xml:space="preserve"> </w:t>
      </w:r>
      <w:r>
        <w:rPr>
          <w:u w:val="single"/>
        </w:rPr>
        <w:t xml:space="preserve"> </w:t>
      </w:r>
      <w:r>
        <w:rPr>
          <w:u w:val="single"/>
        </w:rPr>
        <w:t xml:space="preserve">CONFIDENTIALITY OF CERTAIN INFORMATION.  (a) </w:t>
      </w:r>
      <w:r>
        <w:rPr>
          <w:u w:val="single"/>
        </w:rPr>
        <w:t xml:space="preserve"> </w:t>
      </w:r>
      <w:r>
        <w:rPr>
          <w:u w:val="single"/>
        </w:rPr>
        <w:t xml:space="preserve">This section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veteran or a family member of the veteran who applies for or receives any benefits or services offered by the board;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current member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armed forces of the United States, including a reserve component;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military forces, as that term is defined by Section 437.001,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following information received or maintained by the board that relates to a person to whom this section applies is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home address;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telephone number;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e-mail address;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emergency contact information;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social security number;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information that reveals whether the person has family members.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disclose the information described by Subsection (b)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federal agency, state agency, political subdivision of this state, or private vendor contracted by the board for the purpose of administering any benefits or services offered by the board for veterans or the family members of veterans;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person with the written consent of a person to whom this section applies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information is disclosed for the purpose specified in the written consent;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disclosed information relates to the consenting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disclosed under Subsection (c) is not subject to disclosure under Chapter 552, Government Code, and the disclosure does not constitute a voluntary disclosure to the public by the board for purposes of Section 552.007,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the extent of any conflict between this section and Section 552.137, Government Code, this section prevails.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562 was passed by the House on April 28, 2023, by the following vote:</w:t>
      </w:r>
      <w:r xml:space="preserve">
        <w:t> </w:t>
      </w:r>
      <w:r xml:space="preserve">
        <w:t> </w:t>
      </w:r>
      <w:r>
        <w:t xml:space="preserve">Yeas 138, Nays 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562 was passed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