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88R2726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energy-efficient and energy-saving information technologies.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Facilities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"State agency" means a department, commission, board, office, council, authority, or other agency in the executive, legislative, or judicial branch of state government, including a university system or institution of higher education as defined by Section 61.003, Education Code, that is created by the constitution or a statute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REGARDING ENERGY-EFFICIENT AND ENERGY-SAVING INFORMATION TECHNOLOGY. (a)  In collaboration with the Department of Information Resources, the commission shall conduct a study to develop a strategy for the maintenance, purchase, and use by a state agency of energy-efficient and energy-saving information technologies at state-owned and state-operated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study, the commission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advanced metering infrastructure;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energy-efficient data center strategies and methods of increasing asset and infrastructure use;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advanced power management tools;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building information modeling, including building energy management;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secure telework and travel substitution technologies;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mechanisms to ensure that a state agency realizes the agency's energy cost savings achieved through use of energy-efficient and energy-saving information technologies.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study must identify: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performance goals for evaluating the efforts of state agencies in improving the maintenance, purchase, and use of energy-efficient and energy-saving information technology;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recommended best practices for use in improving the maintenance, purchase, and use of energy-efficient and energy-saving information technology;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steps necessary to implement recommended best practices;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benefits to this state in implementing the recommended best practices.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 TO THE LEGISLATURE.  Not later than December 1, 2024, the commission shall submit a report to the governor, the lieutenant governor, the speaker of the house of representatives, and each standing committee of the legislature with jurisdiction over state-owned and state-operated facilities that includes the results of the study  and any recommendations of the commission related to the study and statutory changes necessary to implement needed changes to those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 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