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discrimination on the basis of hair texture or protective hairstyle associated with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25.902.</w:t>
      </w:r>
      <w:r>
        <w:rPr>
          <w:u w:val="single"/>
        </w:rPr>
        <w:t xml:space="preserve"> </w:t>
      </w:r>
      <w:r>
        <w:rPr>
          <w:u w:val="single"/>
        </w:rPr>
        <w:t xml:space="preserve"> </w:t>
      </w:r>
      <w:r>
        <w:rPr>
          <w:u w:val="single"/>
        </w:rPr>
        <w:t xml:space="preserve">PROHIBITION ON CERTAIN DISCRIMINATION IN STUDENT DRESS OR GROOMING POLICY.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 school district,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51.979.</w:t>
      </w:r>
      <w:r>
        <w:rPr>
          <w:u w:val="single"/>
        </w:rPr>
        <w:t xml:space="preserve"> </w:t>
      </w:r>
      <w:r>
        <w:rPr>
          <w:u w:val="single"/>
        </w:rPr>
        <w:t xml:space="preserve"> </w:t>
      </w:r>
      <w:r>
        <w:rPr>
          <w:u w:val="single"/>
        </w:rPr>
        <w:t xml:space="preserve">PROHIBITION ON CERTAIN DISCRIMINATION IN STUDENT DRESS OR GROOMING POLICY.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an institution of higher education,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 Labor Code, is amended by adding Section 21.1095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21.1095.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referring to discrimination because of race or on the basis of race includes discrimination because of or on the basis of an employee's hair texture or protective hairstyle commonly or historically associated with race.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301, Property Code, is amended by adding Section 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301.0045.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other than a provision in Subchapter I, referring to discrimination because of race or on the basis of race includes discrimination because of or on the basis of a person's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21.1095,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301.0045, Property Code, as added by this Act, applies only to a discriminatory housing practice that occurs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567 was passed by the House on April 13, 2023, by the following vote:</w:t>
      </w:r>
      <w:r xml:space="preserve">
        <w:t> </w:t>
      </w:r>
      <w:r xml:space="preserve">
        <w:t> </w:t>
      </w:r>
      <w:r>
        <w:t xml:space="preserve">Yeas 143,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567 was passed by the Senate on May 12, 2023,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