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88R2473 AMF-F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Bowers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572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confiscation of packaged, unopened fireworks by a municipality that regulates fireworks.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342.003(c),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Subsection (a)(8) does not authorize a municipality to confiscate </w:t>
      </w:r>
      <w:r>
        <w:rPr>
          <w:u w:val="single"/>
        </w:rPr>
        <w:t xml:space="preserve">fireworks in the possession of a person if the person possesses only</w:t>
      </w:r>
      <w:r>
        <w:t xml:space="preserve"> </w:t>
      </w:r>
      <w:r>
        <w:t xml:space="preserve">packaged, unopened fireworks.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342.013(a),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home-rule municipality that regulates fireworks may not confiscate </w:t>
      </w:r>
      <w:r>
        <w:rPr>
          <w:u w:val="single"/>
        </w:rPr>
        <w:t xml:space="preserve">fireworks in the possession of a person if the person possesses only</w:t>
      </w:r>
      <w:r>
        <w:t xml:space="preserve"> packaged, unopened fireworks.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572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