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 Harless</w:t>
      </w:r>
      <w:r xml:space="preserve">
        <w:tab wTab="150" tlc="none" cTlc="0"/>
      </w:r>
      <w:r>
        <w:t xml:space="preserve">H.B.</w:t>
      </w:r>
      <w:r xml:space="preserve">
        <w:t> </w:t>
      </w:r>
      <w:r>
        <w:t xml:space="preserve">No.</w:t>
      </w:r>
      <w:r xml:space="preserve">
        <w:t> </w:t>
      </w:r>
      <w:r>
        <w:t xml:space="preserve">573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waiving certain driver's license fees for applicants who are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521, Transportation Code, is amended by adding Section 521.1813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521.1813.</w:t>
      </w:r>
      <w:r>
        <w:rPr>
          <w:u w:val="single"/>
        </w:rPr>
        <w:t xml:space="preserve"> </w:t>
      </w:r>
      <w:r>
        <w:rPr>
          <w:u w:val="single"/>
        </w:rPr>
        <w:t xml:space="preserve"> </w:t>
      </w:r>
      <w:r>
        <w:rPr>
          <w:u w:val="single"/>
        </w:rPr>
        <w:t xml:space="preserve">WAIVER OF CERTAIN FEES FOR FIRST RESPONDERS.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volunteer firefighter who performs firefighting duties on behalf of a political subdivision and who is not serving as a member of the legislature or holding a statewide elected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ambulance driver;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 is a first responder.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original or renewal driver's license submitted on or after the effective date of this Act.  An application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