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cessation of tolls on segments of State Highway 99 located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228, Transportation Code, is amended by adding Section 228.060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228.060.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CESSATION OF TOLLS ON STATE HIGHWAY 99  IN CERTAIN COUNTIES.  The department may not charge a toll, either directly or indirectly through an agreement with another entity, on a segment of State Highway 99 located in a county with a population of less than 75,000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submits to the department a resolution adopted by the county stating that the imposition of tolls on the segment has created a safety hazard on another state highway located in the county;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construction on or a closure of a highway or other public road is located within two miles of the segment.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