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88R2650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583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production by the Texas Commission on Environmental Quality of an annual report on public drinking water supply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341.0315, Health and Safety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produce an annual report on public drinking water supply systems in this state. </w:t>
      </w:r>
      <w:r>
        <w:rPr>
          <w:u w:val="single"/>
        </w:rPr>
        <w:t xml:space="preserve"> </w:t>
      </w:r>
      <w:r>
        <w:rPr>
          <w:u w:val="single"/>
        </w:rPr>
        <w:t xml:space="preserve">The commission shall deliver the report to the legislature not later than September 1 of each year.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year preceding the production of the report: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analysis of noteworthy events that affected public drinking water supply systems and the consequences of those events;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summary of challenges experienced by public drinking water supply systems and any vulnerabilities or system failures that were exposed;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projected: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changes in the physical condition of public drinking water supply systems, including expected wear and tear on the systems;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effects of population increases on the performance of public drinking water supply systems;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recommendations for preventing unplanned downtime for public drinking water supply systems in times of disaster.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may cooperate with other state agencies, political subdivisions, and public drinking water supply systems as necessary to produce the report required under Subsection (f).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Commission on Environmental Quality shall provide to the legislature the first report required by Section 341.0315(f), Health and Safety Code, as added by this Act, not later than September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