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88R2504 CXP-F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Capriglione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development of a state information technology credential offered by public junior colleges to address shortages in the state information resources workforce.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2054.061(b),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shall annually analyze: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department's staffing needs;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need for and cost-effectiveness of contracting for consultants and outside staff;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whether the department could use department staff to accomplish tasks proposed for the consultants and outside staff;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whether and what type of training or additional resources are necessary for the department to use the department's own staff to accomplish tasks proposed for the consultants or outside staff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entering into an agreement with a public junior college district under Section 2054.0701 is appropriate to assist the department in meeting staffing needs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2054, Government Code, is amended by adding Section 2054.0701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2054.0701.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INFORMATION TECHNOLOGY CREDENTIAL.  (a)  The department may enter into an agreement with a public junior college district under Section 130.0081, Education Code, to offer a program leading to a state information technology credential to address shortages in the state information resources workforce.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program offered under this section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approved by the Texas Higher Education Coordinating Board in accordance with Section 61.0512, Education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 the knowledge and skills necessary for an entry-level information technology position in a state agency;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a one-year apprenticeship with: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relevant state agency;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organization working on a major information resources project;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regional network security center established under Section 2059.202.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director shall update the department's intra-agency career ladder program to ensure that an associate degree together with a credential awarded under this section may be substituted for a four-year baccalaureate degree.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classification officer in the office of the state auditor shall review the state's position classification plan to determine whether an associate degree together with a credential awarded under this section may be substituted for a four-year baccalaureate degree and revise relevant job descriptions accordingly.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program offered under this section is not fully funded through tuition and other money of the public junior college district available for the purpose, the department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any money available to the department for the purpose to offer a program under this section;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solicit and accept gifts, grants, and donations from any public or private source for purposes of offering a program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