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88R2453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Brazoria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municipal annexation of certain rights-of-way.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43.1055,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43.1055.</w:t>
      </w:r>
      <w:r xml:space="preserve">
        <w:t> </w:t>
      </w:r>
      <w:r xml:space="preserve">
        <w:t> </w:t>
      </w:r>
      <w:r>
        <w:t xml:space="preserve">ANNEXATION OF ROAD RIGHTS-OF-WAY ON REQUEST </w:t>
      </w:r>
      <w:r>
        <w:rPr>
          <w:u w:val="single"/>
        </w:rPr>
        <w:t xml:space="preserve">OR WITHOUT OBJECTION</w:t>
      </w:r>
      <w:r>
        <w:t xml:space="preserve"> OF OWNER OR MAINTAINING POLITICAL SUBDIVISION.  </w:t>
      </w:r>
      <w:r>
        <w:rPr>
          <w:u w:val="single"/>
        </w:rPr>
        <w:t xml:space="preserve">(a)</w:t>
      </w:r>
      <w:r>
        <w:t xml:space="preserve">  Notwithstanding any other law, a municipality may by ordinance annex </w:t>
      </w:r>
      <w:r>
        <w:rPr>
          <w:u w:val="single"/>
        </w:rPr>
        <w:t xml:space="preserve">under the procedures prescribed by Subchapter C-1: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road right-of-way on request of the owner of the right-of-way or the governing body of the political subdivision that maintains the right-of-way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road right-of-way described by Subsection (b)</w:t>
      </w:r>
      <w:r>
        <w:t xml:space="preserve"> [</w:t>
      </w:r>
      <w:r>
        <w:rPr>
          <w:strike/>
        </w:rPr>
        <w:t xml:space="preserve">under the procedures prescribed by Subchapter C-1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annex a road right-of-way provided that the right-of-way: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contiguous to the municipality's boundary or to an area being simultaneously annexed by the municipality;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parallel to the boundary of the municipality or to an area being simultaneously annexed by the municipality;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connects the boundary of the municipality to an area being simultaneously annexed by the municipality or to another point on the boundary of the municipality;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result in the municipality's boundaries surrounding any area that was not already in the municipality's extraterritorial jurisdiction immediately before the annexation of the right-of-way.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annex a right-of-way under this section only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owner of the right-of-way or the governing body of the political subdivision that maintains the right-of-way requests the annexation of the right-of-way in writing;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municipality provides written notice of the annexation to the owner of the right-of-way or the governing body of the political subdivision that maintains the right-of-way not later than the 61st day before the date of the proposed annexation;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owner of the right-of-way or the governing body of the political subdivision that maintains the right-of-way does not submit a written objection to the municipality before the date of the proposed annexation.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right-of-way proposed to be annexed under this section is owned or maintained by a governmental body, then that governmental body may specify, by notifying the municipality in writing, the location at which a municipality must deliver notice under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43.054 does not apply to the annexation of a right-of-way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42.021, the annexation of a road right-of-way described by Subsection (b)(2)(B) does not expand the  annexing municipality's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