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587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incineration of a United States flag or Texas state flag through the cremation process at the request of any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716.001, Health and Safety Code, is amended by adding Subdivisions (10-a) and (16)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"First responder" has the meaning assigned by Section 421.095, Government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"Veteran" means an individual who: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served in: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army, navy, air force, coast guard, or marine corps of the United States;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military forces as defined by Section 431.001, Government Code;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auxiliary service of one of those branches of the armed forces;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honorably discharged from the branch of the service in which the individual served.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716, Health and Safety Code, is amended by adding Section 716.157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716.157.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INCINERATION OF UNITED STATES FLAG OR STATE FLAG THROUGH CREMATION PROCESS.  (a)  A crematory establishment may incinerate through the cremation process and separately from human remains one or more United States flags or state flags at the request of any person, including a family member of a deceased veteran, deceased first responder, or deceased spouse or child of a veteran or first responder for the purpose of spreading the ashes on the grave or memorial site of the veteran, first responder, spouse, or child</w:t>
      </w:r>
      <w:r>
        <w:rPr>
          <w:u w:val="single"/>
        </w:rPr>
        <w:t xml:space="preserve">.  A crematory establishment may only incinerate a flag during the week preceding and the week after the following national holidays: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Memorial Day;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Flag Day;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Independence Day.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necessary to implement this section.  The rules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guidelines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crematory sanitation;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release of ashes from an incinerated United States flag or state flag to the person who requested incineration of the flag;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disposal of ashes from an incinerated flag;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incineration of the flag is in accordance with 4 U.S.C. Section 8 and Chapter 3100, Government Code,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Funeral Service Commission shall adopt rules necessary to implement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587 was passed by the House on April 18, 2023, by the following vote:</w:t>
      </w:r>
      <w:r xml:space="preserve">
        <w:t> </w:t>
      </w:r>
      <w:r xml:space="preserve">
        <w:t> </w:t>
      </w:r>
      <w:r>
        <w:t xml:space="preserve">Yeas 148, Nays 0, 1 present, not voting; and that the House concurred in Senate amendments to H.B. No. 587 on May 17, 2023, by the following vote:</w:t>
      </w:r>
      <w:r xml:space="preserve">
        <w:t> </w:t>
      </w:r>
      <w:r xml:space="preserve">
        <w:t> </w:t>
      </w:r>
      <w:r>
        <w:t xml:space="preserve">Yeas 140, Nays 5,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587 was passed by the Senate, with amendments, on May 15,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