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88R2636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statewide disaster alert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418, Government Code, is amended by adding Subchapter L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L.  STATEWIDE DISASTER ALERT SYSTEM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418.451.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"alert system" means the statewide disaster alert system developed and implemented under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418.452.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ESTABLISHMENT OF ALERT SYSTEM.  (a)  With the cooperation of the office of the governor and appropriate state agencies, the division shall develop and implement a statewide alert system to activate in the event of a disaster affecting any location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alert system may be operated in conjunction with any other emergency alert system required by federal or state law.  The alert system must notify persons statewide of a disaster affecting any location in this state.  The notification must be provided through: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and commercial television or radio broadcasts;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system of dynamic message signs located across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reverse 9-1-1 telephone calls, text messages, e-mails, social media, and other instant messaging systems.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division shall allow persons to register for a preferred method of receiving the notification described by Subsection (b)(3).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418.453.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ACTIVATION OF ALERT SYSTEM.  (a)  When the division determines that a disaster has occurred or that the occurrence or threat of disaster is imminent or is notified of a declaration of disaster under this chapter, the division shall immediately activate the alert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division shall issue updated notifications for the duration of the disaster.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418.454.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CONTENT OF ALERT SYSTEM NOTIFICATION.  (a)  A notification issued under the alert system must include all information necessary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assist a person affected by the disaster with making informed decisions regarding the person's safety;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enable a person in another location in this state to assist an affected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notification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real-time information regarding the availability of gas, food, lodging, 24-hour pharmacy services, and medical care and the disposition of a deceased individual;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hurricane, the category classification of the hurricane, including updated information on changes in the category classification, the expected time and location of landfall, and other detailed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information the division determines appropriate.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418.455.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TERMINATION OF ALERT SYSTEM.  The division shall terminate the activation of the alert system when: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division determines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threat or danger has passed;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disaster has been addressed to the extent that emergency conditions no longer exist;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of disaster is terminated as provided by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Division of Emergency Management shall implement Subchapter L, Chapter 418,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