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597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appraisal procedure for disputed losses under certain property and casualty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Insurance Code, is amended by adding Chapter 1813 to read as follows:</w:t>
      </w:r>
    </w:p>
    <w:p w:rsidR="003F3435" w:rsidRDefault="0032493E">
      <w:pPr>
        <w:spacing w:line="480" w:lineRule="auto"/>
        <w:jc w:val="center"/>
      </w:pPr>
      <w:r>
        <w:rPr>
          <w:u w:val="single"/>
        </w:rPr>
        <w:t xml:space="preserve">CHAPTER 1813.  APPRAISAL PROCEDURES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1813.001.</w:t>
      </w:r>
      <w:r>
        <w:rPr>
          <w:u w:val="single"/>
        </w:rPr>
        <w:t xml:space="preserve"> </w:t>
      </w:r>
      <w:r>
        <w:rPr>
          <w:u w:val="single"/>
        </w:rPr>
        <w:t xml:space="preserve"> </w:t>
      </w:r>
      <w:r>
        <w:rPr>
          <w:u w:val="single"/>
        </w:rPr>
        <w:t xml:space="preserve">APPLICABILITY OF CHAPTER.  (a)  This chapter applies only to an insurer writing a property or casualty insurance policy, including the FAIR Plan Association, the Texas Automobile Insurance Plan Association, a Lloyd's plan, a reciprocal or interinsurance exchange, a farm mutual insurance company, and a county mutual insurance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the Texas Windstorm Insurance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1813.002.</w:t>
      </w:r>
      <w:r>
        <w:rPr>
          <w:u w:val="single"/>
        </w:rPr>
        <w:t xml:space="preserve"> </w:t>
      </w:r>
      <w:r>
        <w:rPr>
          <w:u w:val="single"/>
        </w:rPr>
        <w:t xml:space="preserve"> </w:t>
      </w:r>
      <w:r>
        <w:rPr>
          <w:u w:val="single"/>
        </w:rPr>
        <w:t xml:space="preserve">RULES.  The commissioner may adopt rules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1813.003.</w:t>
      </w:r>
      <w:r>
        <w:rPr>
          <w:u w:val="single"/>
        </w:rPr>
        <w:t xml:space="preserve"> </w:t>
      </w:r>
      <w:r>
        <w:rPr>
          <w:u w:val="single"/>
        </w:rPr>
        <w:t xml:space="preserve"> </w:t>
      </w:r>
      <w:r>
        <w:rPr>
          <w:u w:val="single"/>
        </w:rPr>
        <w:t xml:space="preserve">REQUIRED POLICY PROVISION: APPRAISAL PROCEDURE.  An insurance policy described by Section 1813.001 must contain an appraisal procedure that complies with this chapter.</w:t>
      </w:r>
    </w:p>
    <w:p w:rsidR="003F3435" w:rsidRDefault="0032493E">
      <w:pPr>
        <w:spacing w:line="480" w:lineRule="auto"/>
        <w:jc w:val="center"/>
      </w:pPr>
      <w:r>
        <w:rPr>
          <w:u w:val="single"/>
        </w:rPr>
        <w:t xml:space="preserve">SUBCHAPTER B.  APPRAISAL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1813.051.</w:t>
      </w:r>
      <w:r>
        <w:rPr>
          <w:u w:val="single"/>
        </w:rPr>
        <w:t xml:space="preserve"> </w:t>
      </w:r>
      <w:r>
        <w:rPr>
          <w:u w:val="single"/>
        </w:rPr>
        <w:t xml:space="preserve"> </w:t>
      </w:r>
      <w:r>
        <w:rPr>
          <w:u w:val="single"/>
        </w:rPr>
        <w:t xml:space="preserve">APPRAISAL DEMAND.  If the policyholder and insurer fail to agree to the amount of a loss covered by the policy, the policyholder or insurer may provide a written demand for an appraisal to the other party.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1813.052.</w:t>
      </w:r>
      <w:r>
        <w:rPr>
          <w:u w:val="single"/>
        </w:rPr>
        <w:t xml:space="preserve"> </w:t>
      </w:r>
      <w:r>
        <w:rPr>
          <w:u w:val="single"/>
        </w:rPr>
        <w:t xml:space="preserve"> </w:t>
      </w:r>
      <w:r>
        <w:rPr>
          <w:u w:val="single"/>
        </w:rPr>
        <w:t xml:space="preserve">SELECTION OF APPRAISERS.  Not later than the 20th day after the date an appraisal demand is provided under Section 1813.051, the policyholder and insurer shall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select a competent appraiser;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written notice to the other party of the appraiser's identity.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1813.053.</w:t>
      </w:r>
      <w:r>
        <w:rPr>
          <w:u w:val="single"/>
        </w:rPr>
        <w:t xml:space="preserve"> </w:t>
      </w:r>
      <w:r>
        <w:rPr>
          <w:u w:val="single"/>
        </w:rPr>
        <w:t xml:space="preserve"> </w:t>
      </w:r>
      <w:r>
        <w:rPr>
          <w:u w:val="single"/>
        </w:rPr>
        <w:t xml:space="preserve">APPRAISAL OF LOSS BY APPRAISERS; SELECTION OF UMPIRE.  (a) </w:t>
      </w:r>
      <w:r>
        <w:rPr>
          <w:u w:val="single"/>
        </w:rPr>
        <w:t xml:space="preserve"> </w:t>
      </w:r>
      <w:r>
        <w:rPr>
          <w:u w:val="single"/>
        </w:rPr>
        <w:t xml:space="preserve">The appraisers shall appraise the loss that is the subject of the appraisal not later than the 30th day after the date both the policyholder and insurer have complied with Section 1813.052.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appraisers may extend the deadline described by Subsection (a) for a period not to exceed 60 days on agreement by the appraisers, policyholder, and insurer.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appraisers agree on the amount of the loss: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appraisers shall provide written notice of the agreement to the policyholder and insurer;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agreed amount is set as the amount of the loss.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appraisers fail to agree on the amount of the loss, the appraisers shall select a competent and impartial umpire. </w:t>
      </w:r>
      <w:r>
        <w:rPr>
          <w:u w:val="single"/>
        </w:rPr>
        <w:t xml:space="preserve"> </w:t>
      </w:r>
      <w:r>
        <w:rPr>
          <w:u w:val="single"/>
        </w:rPr>
        <w:t xml:space="preserve">If the appraisers do not agree on an umpire before the 20th day after the deadline for the appraisers to determine the amount of the loss under this section, a judge of a court in the county in which the policyholder resides shall select the umpire on the request of the policyholder or insurer.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umpire is selected under Subsection (d), the appraisers shall provide written notice to the umpire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each appraiser sets for the loss;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supporting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1813.054.</w:t>
      </w:r>
      <w:r>
        <w:rPr>
          <w:u w:val="single"/>
        </w:rPr>
        <w:t xml:space="preserve"> </w:t>
      </w:r>
      <w:r>
        <w:rPr>
          <w:u w:val="single"/>
        </w:rPr>
        <w:t xml:space="preserve"> </w:t>
      </w:r>
      <w:r>
        <w:rPr>
          <w:u w:val="single"/>
        </w:rPr>
        <w:t xml:space="preserve">APPRAISAL SELECTION BY UMPIRE.  (a) </w:t>
      </w:r>
      <w:r>
        <w:rPr>
          <w:u w:val="single"/>
        </w:rPr>
        <w:t xml:space="preserve"> </w:t>
      </w:r>
      <w:r>
        <w:rPr>
          <w:u w:val="single"/>
        </w:rPr>
        <w:t xml:space="preserve">The umpire shall determine the amount of the loss not later than the 30th day after the date the umpire receives the notice described by Section 1813.053(e) by selecting one of the amounts submitted to the umpire.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umpire may extend the deadline described by Subsection (a) for a period not to exceed 60 days on agreement by the appraisers, policyholder, and insurer.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deciding on the amount of the loss, the umpire shall provide a written determination to the policyholder and insurer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sets the amount of the loss;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signed by the umpire and the appraiser whose appraisal amount is selected by the umpire.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provided under Subsection (c) does not prevent either party from pursuing its rights under the policy or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1813.055.</w:t>
      </w:r>
      <w:r>
        <w:rPr>
          <w:u w:val="single"/>
        </w:rPr>
        <w:t xml:space="preserve"> </w:t>
      </w:r>
      <w:r>
        <w:rPr>
          <w:u w:val="single"/>
        </w:rPr>
        <w:t xml:space="preserve"> </w:t>
      </w:r>
      <w:r>
        <w:rPr>
          <w:u w:val="single"/>
        </w:rPr>
        <w:t xml:space="preserve">APPRAISAL EXPENSES.  (a)  Except as provided by Subsection (c), the party selecting an appraiser shall pay that appraiser.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policyholder and insurer shall equally divide and pay the umpire's expenses, as applicable, and all other appraisal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at the end of the appraisal process the amount of the loss is determined to be at least $1 more than the amount of the insurer's proposed undisputed loss statement, the insurer shall refund the policyholder's reasonable expenses incurred as a result of the appraisal.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1813.056.</w:t>
      </w:r>
      <w:r>
        <w:rPr>
          <w:u w:val="single"/>
        </w:rPr>
        <w:t xml:space="preserve"> </w:t>
      </w:r>
      <w:r>
        <w:rPr>
          <w:u w:val="single"/>
        </w:rPr>
        <w:t xml:space="preserve"> </w:t>
      </w:r>
      <w:r>
        <w:rPr>
          <w:u w:val="single"/>
        </w:rPr>
        <w:t xml:space="preserve">EFFECT OF APPRAISAL.  (a) </w:t>
      </w:r>
      <w:r>
        <w:rPr>
          <w:u w:val="single"/>
        </w:rPr>
        <w:t xml:space="preserve"> </w:t>
      </w:r>
      <w:r>
        <w:rPr>
          <w:u w:val="single"/>
        </w:rPr>
        <w:t xml:space="preserve">The appraisal does not affect any applicable policy terms, including deductibles.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appraisal procedure provided by this chapter is intended to function as a liquidated damages clause, and the use of the procedure is not a condition precedent to bringing an action for a violation of this code, for a breach of contract, or for any other common-law or statutory remedy.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1813, Insurance Code, as added by this Act, applies only to an insurance policy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