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Shaheen, Bhojani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Whitmire)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598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April</w:t>
      </w:r>
      <w:r xml:space="preserve">
        <w:t> </w:t>
      </w:r>
      <w:r>
        <w:t xml:space="preserve">20,</w:t>
      </w:r>
      <w:r xml:space="preserve">
        <w:t> </w:t>
      </w:r>
      <w:r>
        <w:t xml:space="preserve">2023; April</w:t>
      </w:r>
      <w:r xml:space="preserve">
        <w:t> </w:t>
      </w:r>
      <w:r>
        <w:t xml:space="preserve">25,</w:t>
      </w:r>
      <w:r xml:space="preserve">
        <w:t> </w:t>
      </w:r>
      <w:r>
        <w:t xml:space="preserve">2023, read first time and referred to Committee on Criminal Justice; May</w:t>
      </w:r>
      <w:r xml:space="preserve">
        <w:t> </w:t>
      </w:r>
      <w:r>
        <w:t xml:space="preserve">3,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5, Nays 0; May</w:t>
      </w:r>
      <w:r xml:space="preserve">
        <w:t> </w:t>
      </w:r>
      <w:r>
        <w:t xml:space="preserve">3,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Whitmire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Flores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Hinojosa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Huffman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creating the criminal offense of possession of an animal by a person who has been previously convicted of an offense involving animal cruelty.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42, Penal Code, is amended by adding Section 42.107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42.107.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POSSESSION OF ANIMAL BY PERSON CONVICTED OF ANIMAL CRUELTY.  (a)  A person commits an offense if the person: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possesses or exercises control over an animal;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within the five-year period preceding the date of the instant offense, has been previously convicted of an offense under: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Section 42.091, 42.092, or 42.10;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federal law or a penal law of another state containing elements that are substantially similar to the elements of an offense described by Paragraph (A).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offense under this section is a Class C misdemeanor, except that the offense is a Class B misdemeanor if the defendant has been previously convicted of an offense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598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