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negotiated rates requested by members of the legislature from certain health care vendors that contract with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2252, Government Code, is amended by adding Section 2252.909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2252.909.</w:t>
      </w:r>
      <w:r>
        <w:rPr>
          <w:u w:val="single"/>
        </w:rPr>
        <w:t xml:space="preserve"> </w:t>
      </w:r>
      <w:r>
        <w:rPr>
          <w:u w:val="single"/>
        </w:rPr>
        <w:t xml:space="preserve"> </w:t>
      </w:r>
      <w:r>
        <w:rPr>
          <w:u w:val="single"/>
        </w:rPr>
        <w:t xml:space="preserve">LEGISLATIVE REQUEST FOR NEGOTIATED RATES UNDER CERTAIN HEALTH BENEFIT CONTRACTS.  (a)  In this section,</w:t>
      </w:r>
      <w:r>
        <w:rPr>
          <w:u w:val="single"/>
        </w:rPr>
        <w:t xml:space="preserve"> </w:t>
      </w:r>
      <w:r>
        <w:rPr>
          <w:u w:val="single"/>
        </w:rPr>
        <w:t xml:space="preserve"> </w:t>
      </w:r>
      <w:r>
        <w:rPr>
          <w:u w:val="single"/>
        </w:rPr>
        <w:t xml:space="preserve">"health care vendor"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benefit plan issuer that contracts with this state for the administration of health benefits;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managed care organization that contracts with the Health and Human Services Commission to administer health benefits for Medicaid recipients through a managed care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health care vendor that contracts with this state, including with an agency of this state, to administer health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basic coverage plan under Chapter 1551, Insurance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basic plan under Chapter 1575, Insurance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primary care coverage plan under Chapter 1579, Insurance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providing basic coverage under Chapter 1601, Insurance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state Medicaid program, including the Medicaid managed care program operated under Chapter 533.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member of the legislature may request from a health care vendor information regarding any negotiated rate included in a contract between the vendor and this state for the administration of health benefits.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a written request for information under Subsection (c), the health care vendor shall provide the requested information to the member of the legislature who submitted the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vendor, by providing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member of the legislature or legislative staff who receives information from a health care vendor under this section may not disclose that information to any person who does not have a right to access that information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2252.909, Government Code, as added by this Act, applies only to a health care vendor that enters into or renews a contract with the State of Texas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