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88R2392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606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execution of a warrant issued for certain releasees who violate a condition of parole or mandatory supervision related to the electronic monitoring of the releasee.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508, Government Code, is amended by adding Section 508.2525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508.2525.</w:t>
      </w:r>
      <w:r>
        <w:rPr>
          <w:u w:val="single"/>
        </w:rPr>
        <w:t xml:space="preserve"> </w:t>
      </w:r>
      <w:r>
        <w:rPr>
          <w:u w:val="single"/>
        </w:rPr>
        <w:t xml:space="preserve"> </w:t>
      </w:r>
      <w:r>
        <w:rPr>
          <w:u w:val="single"/>
        </w:rPr>
        <w:t xml:space="preserve">WARRANT FOR CERTAIN VIOLATIONS OF SUPER-INTENSIVE SUPERVISION PROGRAM.  A law enforcement agency shall execute, as soon as practicable, a warrant that is directed to the agency and issued for the return of a releasee in the super-intensive supervision program based on a violation of a condition of parole or mandatory supervision related to the electronic monitoring of the releasee.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arrest warrant that is issued on or after the effective date of this Act.  An arrest warrant that was issued before the effective date of this Act is governed by the law in effect on the date the warrant was issued,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