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88R1080 AJA-D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liability of a business owner or operator arising from the exposure of an individual to a pandemic disease.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148.003, Civil Practice and Remedies Code, is amended by adding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section, a business owner or operator that does not require employees or contractors of the business to be vaccinated against a pandemic disease is not liable for injury or death caused by the exposure of an individual to the pandemic disease through an employee or contractor of the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148.003(k),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