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liability of a business owner or operator arising from the exposure of an individual to a pandemic disease.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148.003, Civil Practice and Remedies Code, is amended by adding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a business owner or operator that does not require employees or contractors of the business to be vaccinated against a pandemic disease is not liable for injury or death caused by the exposure of an individual to the pandemic disease through an employee or contractor of the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148.003(k),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