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88R1600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criminal offense of unlawful disclosure of residence address or telephone number.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Penal Code, is amended by adding Section 42.074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DISCLOSURE OF RESIDENCE ADDRESS OR TELEPHONE NUMBER.  (a) A person commits an offense if the person posts on a publicly accessible website the residence address or telephone number of an individual with the intent to cause harm or a threat of harm to the individual or a member of the individual's family or household.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misdemeanor, except that the offense is a Class A misdemeanor if the offense results in the bodily injury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whose residence address or telephone number was posted on a publicly accessible website;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individual's family or household.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(a), it is prima facie evidence of the intent to cause harm or a threat of harm to an individual whose residence address or telephone number was posted on a publicly accessible website or to a member of the individual's family or household if the actor: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a written demand from the individual to not disclose the address or telephone number for reasons of safety;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remove the address or telephone number from the publicly accessible website within a period of 48 hours after receiving the demand;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reposts the address or telephone number on the same or a different publicly accessible website, or makes the information publicly available through another medium, within a period of four years after receiving the demand.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Section 36.06(a-1), the actor may be prosecuted under either section but not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