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a state fiscal biennium exceeds 104 percent of the total amount of general revenue that was received during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