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88R20800 JON-F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of charges by a governmental body for providing copies of public information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552.261,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body may not impose a charge under this subchapter for providing a copy of public information if the information is a report required to be filed with the governmental body under Subchapter C or D, Chapter 254, Election Code, unless all of those reports filed with the governmental body during the preceding three years are available to the public on the governmental body's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552.269,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cancel or reduce any charge or portion of a charge imposed by a governmental body under this subchapter if the attorney general determines that the governmental body: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maintained the requested information in accordance with standard recordkeeping practices;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failed to comply with this chapter with regard to the request for public information for which the charge is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by a governmental body or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