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88R2373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614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property owners' association fines.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209, Property Code, is amended by adding Section 209.0061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209.0061.</w:t>
      </w:r>
      <w:r>
        <w:rPr>
          <w:u w:val="single"/>
        </w:rPr>
        <w:t xml:space="preserve"> </w:t>
      </w:r>
      <w:r>
        <w:rPr>
          <w:u w:val="single"/>
        </w:rPr>
        <w:t xml:space="preserve"> </w:t>
      </w:r>
      <w:r>
        <w:rPr>
          <w:u w:val="single"/>
        </w:rPr>
        <w:t xml:space="preserve">ASSOCIATION POLICY; FINES. </w:t>
      </w:r>
      <w:r>
        <w:rPr>
          <w:u w:val="single"/>
        </w:rPr>
        <w:t xml:space="preserve"> </w:t>
      </w:r>
      <w:r>
        <w:rPr>
          <w:u w:val="single"/>
        </w:rPr>
        <w:t xml:space="preserve">(a) </w:t>
      </w:r>
      <w:r>
        <w:rPr>
          <w:u w:val="single"/>
        </w:rPr>
        <w:t xml:space="preserve"> </w:t>
      </w:r>
      <w:r>
        <w:rPr>
          <w:u w:val="single"/>
        </w:rPr>
        <w:t xml:space="preserve">A property owners' association board shall adopt an enforcement policy regarding the levying of fines by the property owners' association.  The policy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category of restrictive covenants for which the association may assess a reasonable fine,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property maintenance and repair;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individual misconduct;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matters affecting health and safety;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schedule of fines for each category of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hearings described by Section 209.007.</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enforcement policy adopted pursuant to Subsection (a) may reserve the board's authority to levy a fine from the schedule of fines that varies on a case-by-case basis.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property owners' association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file a copy of the enforcement policy adopted under Subsection (a), and each subsequent amendment, with the county clerk of each county in which the subdivision is located;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a copy of the policy to an owner of each property in the subdivision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posting the policy on an Internet website maintained by the property owners' association or an agent acting on behalf of the association and accessible to members of the association;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annually sending a copy of the policy, separately or included in routine communication from the property owners' association to property owners,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hand-delivery to the owner;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first class mail to the owner's last known mailing address;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e-mail to an e-mail address provided to the property owners' association by the owner;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make the policy available on any publicly accessible Internet website maintained by the property owners'</w:t>
      </w:r>
      <w:r>
        <w:rPr>
          <w:u w:val="single"/>
        </w:rPr>
        <w:t xml:space="preserve"> </w:t>
      </w:r>
      <w:r>
        <w:rPr>
          <w:u w:val="single"/>
        </w:rPr>
        <w:t xml:space="preserve">association or an agent acting on behalf of the association.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209.0061, Property Code, as added by this Act, applies only to a fine that becomes due on or after the effective date of this Act.  A fine that becomes due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