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 Anderson</w:t>
      </w:r>
      <w:r xml:space="preserve">
        <w:tab wTab="150" tlc="none" cTlc="0"/>
      </w:r>
      <w:r>
        <w:t xml:space="preserve">H.B.</w:t>
      </w:r>
      <w:r xml:space="preserve">
        <w:t> </w:t>
      </w:r>
      <w:r>
        <w:t xml:space="preserve">No.</w:t>
      </w:r>
      <w:r xml:space="preserve">
        <w:t> </w:t>
      </w:r>
      <w:r>
        <w:t xml:space="preserve">624</w:t>
      </w:r>
    </w:p>
    <w:p w:rsidR="003F3435" w:rsidRDefault="0032493E">
      <w:pPr>
        <w:jc w:val="both"/>
      </w:pPr>
      <w:r xml:space="preserve">
        <w:t> </w:t>
      </w:r>
      <w:r xml:space="preserve">
        <w:t> </w:t>
      </w:r>
      <w:r xml:space="preserve">
        <w:t> </w:t>
      </w:r>
      <w:r xml:space="preserve">
        <w:t> </w:t>
      </w:r>
      <w:r xml:space="preserve">
        <w:t> </w:t>
      </w:r>
      <w:r>
        <w:t xml:space="preserve">Morales of Maverick (Senate Sponsor</w:t>
      </w:r>
      <w:r xml:space="preserve">
        <w:t> </w:t>
      </w:r>
      <w:r>
        <w:t xml:space="preserve">-</w:t>
      </w:r>
      <w:r xml:space="preserve">
        <w:t> </w:t>
      </w:r>
      <w:r>
        <w:t xml:space="preserve">Birdwell)</w:t>
      </w:r>
    </w:p>
    <w:p w:rsidR="003F3435" w:rsidRDefault="0032493E">
      <w:pPr>
        <w:spacing w:before="240"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3,</w:t>
      </w:r>
      <w:r xml:space="preserve">
        <w:t> </w:t>
      </w:r>
      <w:r>
        <w:t xml:space="preserve">2023; April</w:t>
      </w:r>
      <w:r xml:space="preserve">
        <w:t> </w:t>
      </w:r>
      <w:r>
        <w:t xml:space="preserve">5,</w:t>
      </w:r>
      <w:r xml:space="preserve">
        <w:t> </w:t>
      </w:r>
      <w:r>
        <w:t xml:space="preserve">2023, read first time and referred to Committee on Health &amp; Human Services; May</w:t>
      </w:r>
      <w:r xml:space="preserve">
        <w:t> </w:t>
      </w:r>
      <w:r>
        <w:t xml:space="preserve">4,</w:t>
      </w:r>
      <w:r xml:space="preserve">
        <w:t> </w:t>
      </w:r>
      <w:r>
        <w:t xml:space="preserve">2023, reported favorably by the following vote:</w:t>
      </w:r>
      <w:r>
        <w:t xml:space="preserve"> </w:t>
      </w:r>
      <w:r>
        <w:t xml:space="preserve"> </w:t>
      </w:r>
      <w:r>
        <w:t xml:space="preserve">Yeas 7, Nays 0; May</w:t>
      </w:r>
      <w:r xml:space="preserve">
        <w:t> </w:t>
      </w:r>
      <w:r>
        <w:t xml:space="preserve">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emergency medical transport by fire fighters of certain patients.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773, Health and Safety Code, is amended by adding Section 773.0043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773.0043.</w:t>
      </w:r>
      <w:r>
        <w:rPr>
          <w:u w:val="single"/>
        </w:rPr>
        <w:t xml:space="preserve"> </w:t>
      </w:r>
      <w:r>
        <w:rPr>
          <w:u w:val="single"/>
        </w:rPr>
        <w:t xml:space="preserve"> </w:t>
      </w:r>
      <w:r>
        <w:rPr>
          <w:u w:val="single"/>
        </w:rPr>
        <w:t xml:space="preserve">FIRE FIGHTER EXEMPTION FOR CERTAIN PATIENTS; MEDICAL TREATMENT AND TRANSPORT OPERATING GUIDELINES. </w:t>
      </w:r>
      <w:r>
        <w:rPr>
          <w:u w:val="single"/>
        </w:rPr>
        <w:t xml:space="preserve"> </w:t>
      </w:r>
      <w:r>
        <w:rPr>
          <w:u w:val="single"/>
        </w:rPr>
        <w:t xml:space="preserve">(a) </w:t>
      </w:r>
      <w:r>
        <w:rPr>
          <w:u w:val="single"/>
        </w:rPr>
        <w:t xml:space="preserve"> </w:t>
      </w:r>
      <w:r>
        <w:rPr>
          <w:u w:val="single"/>
        </w:rPr>
        <w:t xml:space="preserve">In this section, "fire fighter"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 is defined as fire protection personnel under Section 419.021,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 a volunteer fire fighter certified by the Texas Commission on Fire Protection or the State Firefighters' and Fire Marshals' Association of Texas.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773.041, a fire fighter, regardless of whether the fire fighter is licensed as an emergency medical services provider, may transport a sick or injured patient to a health care facility in a vehicle other than an emergency medical services vehicle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appropriate emergency medical services provider: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notified of the patient's clinical condition;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unable to provide emergency medical services imminently at the patient's location;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medical treatment and transport operating guidelines for the patient's apparent clinical condition authorize transport of the patient in a vehicle other than an emergency medical services vehicle.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trauma service area regional advisory council shall develop the medical treatment and transport operating guidelines necessary to implement this section for the area served by the council and provide notice of the guidelines to the emergency medical services providers and fire fighters in that area.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each trauma service area regional advisory council shall develop medical treatment and transport operating guidelines necessary to implement Section 773.0043, Health and Safety Code, as added by this Act, and provide notice of the guidelines to the emergency medical services providers and fire fighters in the area.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773.0043, Health and Safety Code, as added by this Act, applies only to transportation provided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