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Spiller, Sherman, Sr., Dean, 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salaries of sheriffs and to state assistance payments to offset the cost of sheriff's salaries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152, Local Government Code, is amended by adding Sections 152.0715 and 152.0716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MINIMUM SALARY OF SHERIFFS.  Notwithstanding any other law, the commissioners court of a county shall provide for each fiscal year a salary of at least $75,000 for the county's sheriff.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FINANCIAL ASSISTANCE TO PAY SALARIES OF SHERIFFS OF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50,000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serve the state purpose of ensuring professional law enforcement throughout the state, a county is entitled to an assistance payment from the state for each county fiscal year to assist the county in paying the sheriff's salary required by Section 152.0715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25,000 or less, the county is entitled to a payment of $25,000;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more than 25,000, the county is entitled to a payment of $10,000.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30th day after the first day of a county's fiscal year, the county must submit an application in the form and manner prescribed by comptroller rule to the comptroller to receive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remit the applicable assistance payment to which a county is entitled from available state funds not later than the 30th day after the date the comptroller receives the county's application for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county fiscal year that begins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comptroller of public accounts shall adopt rules as required by Section 152.0716(e), Local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