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628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issuance of specialty license plates to honor fallen law enforcement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504.680.</w:t>
      </w:r>
      <w:r>
        <w:rPr>
          <w:u w:val="single"/>
        </w:rPr>
        <w:t xml:space="preserve"> </w:t>
      </w:r>
      <w:r>
        <w:rPr>
          <w:u w:val="single"/>
        </w:rPr>
        <w:t xml:space="preserve"> </w:t>
      </w:r>
      <w:r>
        <w:rPr>
          <w:u w:val="single"/>
        </w:rPr>
        <w:t xml:space="preserve">FALLEN LAW ENFORCEMENT OFFICER LICENSE PLATES.  (a) The department shall issue specialty license plates to honor law enforcement officers killed in the line of duty. 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"A Hero Remembered Never Dies";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words "Honoring Law Enforcement";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depiction of a badge covered by a black mourning band.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an account created by the comptroller in the manner provided by Section 504.6012(b). Money deposited to that account may be used only by the Employees Retirement System of Texas to provide financial assistance to surviving family members of peace officers killed in the line of duty under Chapter 615, Government Code.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628 was passed by the House on April 28, 2023, by the following vote:</w:t>
      </w:r>
      <w:r xml:space="preserve">
        <w:t> </w:t>
      </w:r>
      <w:r xml:space="preserve">
        <w:t> </w:t>
      </w:r>
      <w:r>
        <w:t xml:space="preserve">Yeas 144,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628 was passed by the Senate on May 18,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