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Huffman)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630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Natural Resources &amp; Economic Development; May 17, 2023, rereferred to Committee on Finance;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15, Nays 0;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provision of lifeguards by certain municipalities and counties on public beaches.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61.065, Natural Resources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(c)(1) does not apply to a municipality with a population of less than 1,000 that is located in a county adjacent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61.066, Natural Resources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(b)(1) does not apply to a county adjacent to a county with a population of more than 3.3 million that contains a municipality adjacent to the Gulf of Mexico with a population of less than 1,000.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