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88R1320 ADM-D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636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applicability to election judges of a prohibition on the carrying of a handgun at a polling place.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46.15, Penal Code, is amended by adding Subsection (s) to read as follows:</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Section 46.03(a)(2) does not apply to a person who carries a handgun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licensed to carry a handgun under Subchapter H, Chapter 411,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engaged in the performance of the person's duties as an election judge under Chapter 32, Election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while early voting is in progress;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 the day of an election.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was committed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