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88R18717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637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637:</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permanency care assistance after a child's 18th birthday.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264.852,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permanency care assistance agreement shall provide for permanency care assistance payments until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day of the month of the child's 18th birthday;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is regularly attending high school or enrolled in a program leading toward a high school diploma or high school equivalency certificate, the last day of the month in which the child graduates from high school or completes a program leading toward a high school diploma or high school equivalency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264.855, Family Code, is amended to read as follows:</w:t>
      </w:r>
    </w:p>
    <w:p w:rsidR="003F3435" w:rsidRDefault="0032493E">
      <w:pPr>
        <w:spacing w:line="480" w:lineRule="auto"/>
        <w:ind w:firstLine="720"/>
        <w:jc w:val="both"/>
      </w:pPr>
      <w:r>
        <w:t xml:space="preserve">Sec.</w:t>
      </w:r>
      <w:r xml:space="preserve">
        <w:t> </w:t>
      </w:r>
      <w:r>
        <w:t xml:space="preserve">264.855.</w:t>
      </w:r>
      <w:r xml:space="preserve">
        <w:t> </w:t>
      </w:r>
      <w:r xml:space="preserve">
        <w:t> </w:t>
      </w:r>
      <w:r>
        <w:t xml:space="preserve">CONTINUED ELIGIBILITY FOR PERMANENCY CARE ASSISTANCE BENEFITS </w:t>
      </w:r>
      <w:r>
        <w:rPr>
          <w:u w:val="single"/>
        </w:rPr>
        <w:t xml:space="preserve">UNTIL</w:t>
      </w:r>
      <w:r>
        <w:t xml:space="preserve"> [</w:t>
      </w:r>
      <w:r>
        <w:rPr>
          <w:strike/>
        </w:rPr>
        <w:t xml:space="preserve">AFTER</w:t>
      </w:r>
      <w:r>
        <w:t xml:space="preserve">] AGE </w:t>
      </w:r>
      <w:r>
        <w:rPr>
          <w:u w:val="single"/>
        </w:rPr>
        <w:t xml:space="preserve">21</w:t>
      </w:r>
      <w:r>
        <w:t xml:space="preserve"> [</w:t>
      </w:r>
      <w:r>
        <w:rPr>
          <w:strike/>
        </w:rPr>
        <w:t xml:space="preserve">18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permanency care assistance agreement entered into on or after the effective date of this Act.  A permanency care assistance agreement entered into before the effective date of this Act is governed by the law in effect on the date the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