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88R1007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financial institutions and other businesses from using value-based criteria.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C, Title 5, Business &amp; Commerce Code, is amended by adding Chapter 121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121.  USE OF VALUE-BASED CRITERIA IN BUSINESS PRACTICE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121.001.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"Business" means a person engaged in a trade, occupation, profession, or other commercial activity.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"Financial institution" has the meaning assigned by Section 201.101, Finance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121.002.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VALUE-BASED CRITERIA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A financial institution or business in its business practice may not discriminate against, advocate for, or give disparate treatment to a person using value-based criteria,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social media activity;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membership or participation in a club, association, union, or other group;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political affiliation or beliefs;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person's current or former employer;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social credit, environmental, social governance, or similar value-based standards.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limit the ability of a financial institution or business to refuse or discontinue the conduct of business with a person if the refusal or discontinuance is necessary for the physical safety of the financial institution's or business's employees.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 financial institution or business may offer a product or service that uses value-based criteria.  The financial institution or business shall disclose any value-based criteria used in a product or service to a potential customer.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121.003.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LIABILITY FOR USING VALUE-BASED CRITERIA.  (a) </w:t>
      </w:r>
      <w:r>
        <w:rPr>
          <w:u w:val="single"/>
        </w:rPr>
        <w:t xml:space="preserve"> </w:t>
      </w:r>
      <w:r>
        <w:rPr>
          <w:u w:val="single"/>
        </w:rPr>
        <w:t xml:space="preserve">Any person, other than an officer or employee of a state or local governmental entity in this state, may bring a civil action against a financial institution or business who violates Section 121.002.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claimant prevails in an action brought under this section, the court shall award: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injunctive relief sufficient to prevent the financial institution or business from violating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statutory damages in an amount of not less than $100,000 for each action that the financial institution or business performed in violation of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costs and attorney's fees.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(b), a court may not award relief under this section in response to a violation of Subsection (a) if the financial institution or business demonstrates that the financial institution or business previously paid the full amount of statutory damages under Subsection (b) in a previous action for that particular action performed in violation of Section 121.002.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41.003 and 41.004, Civil Practice and Remedies Code, do not apply to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