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88R647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 Gervin-Hawkins, Lopez of Bexar,</w:t>
      </w:r>
      <w:r xml:space="preserve">
        <w:tab wTab="150" tlc="none" cTlc="0"/>
      </w:r>
      <w:r>
        <w:t xml:space="preserve">H.B.</w:t>
      </w:r>
      <w:r xml:space="preserve">
        <w:t> </w:t>
      </w:r>
      <w:r>
        <w:t xml:space="preserve">No.</w:t>
      </w:r>
      <w:r xml:space="preserve">
        <w:t> </w:t>
      </w:r>
      <w:r>
        <w:t xml:space="preserve">651</w:t>
      </w:r>
    </w:p>
    <w:p w:rsidR="003F3435" w:rsidRDefault="0032493E">
      <w:pPr>
        <w:jc w:val="both"/>
      </w:pPr>
      <w:r xml:space="preserve">
        <w:t> </w:t>
      </w:r>
      <w:r xml:space="preserve">
        <w:t> </w:t>
      </w:r>
      <w:r xml:space="preserve">
        <w:t> </w:t>
      </w:r>
      <w:r xml:space="preserve">
        <w:t> </w:t>
      </w:r>
      <w:r xml:space="preserve">
        <w:t> </w:t>
      </w:r>
      <w:r>
        <w:t xml:space="preserve">Shine, Lujan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Junior Reserve Officer Training Corps and Leadership Officer Training Corps programs as public school career and technology education programs and the indicator of achievement for military readiness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courses of study in a Junior Reserve Officer Training Corps program or Leadership Officer Training Corps program are provided as part of a career and technology education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 by:</w:t>
      </w:r>
      <w:r>
        <w:t xml:space="preserve"> </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enlisting</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achieving a passing score set by the applicable military branch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48.106,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addition to the amounts under Subsections (a) and (a-1),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1.28 for each student enrolled in an approved Leadership Officer Training Corps program, as determined by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1.47 for each student enrolled in an approved Junior Reserve Officer Training Corps program, as determined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