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651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Junior Reserve Officer Training Corps and Leadership Officer Training Corps programs as public school career and technology education programs and the indicator of achievement for military readiness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courses of study in a Junior Reserve Officer Training Corps program or Leadership Officer Training Corps program are provided as part of a career and technology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48.106,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addition to the amounts under Subsections (a) and (a-1),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1.28 for each student enrolled in an approved Leadership Officer Training Corps program, as determined by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1.47 for each student enrolled in an approved Junior Reserve Officer Training Corps program, as determined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