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655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placement by a school district of a student who engages in habitually violent behavior.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37.024.</w:t>
      </w:r>
      <w:r>
        <w:rPr>
          <w:u w:val="single"/>
        </w:rPr>
        <w:t xml:space="preserve"> </w:t>
      </w:r>
      <w:r>
        <w:rPr>
          <w:u w:val="single"/>
        </w:rPr>
        <w:t xml:space="preserve"> </w:t>
      </w:r>
      <w:r>
        <w:rPr>
          <w:u w:val="single"/>
        </w:rPr>
        <w:t xml:space="preserve">EDUCATIONAL SETTING FOR STUDENTS WHO ENGAGE IN HABITUALLY VIOLENT BEHAVIOR.  (a) In this section, "habitually violent behavior" means a pattern of violent behavior, such as assault or behavior that results in the hospitalization of a student or school district staff member, that causes more than one incident within a grading period during a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prescribed period determined by the district, place a student who engages in habitually violent behavior towards other students and district staff in a virtual setting and provide virtual instruction and instructional materials for remote learning to the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local and state law enforcement agencies to determine whether a student's habitually violent behavior poses a legitimate ongoing threat to students and district staff in the general education setting;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certain conditions that a student or a student's parent or person standing in parental relation to the student must fulfill to allow a student placed in a virtual setting to return to an alternative, general, or hybrid educational setting, including conditions that require: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student or the student's parent or person standing in parental relation to the student to provide evidence that the student has undergone a medical or mental health evaluation;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reasonable steps designed to help the district determine whether the student continues to pose a threat to students and district staff;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 student receives special education services under Subchapter A, Chapter 29, or is receiving accommodations under Section 504, Rehabilitation Act of 1973 (29 U.S.C. Section 794),  and has been determined to pose an ongoing threat to the physical safety of students and district staff, require the student's admission, review, and dismissal committee or team established under Section 504, Rehabilitation Act of 1973 (29 U.S.C. Section 794), as applicable, to meet to determine an appropriate educational setting for the student, in accordance with Section 37.004 and federal law and regulations,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admission, review, and dismissal committee of a student who engages in habitually violent behavior determines under Subsection (b)(4) that the least restrictive environment for the student is a remote, therapeutic, or residential placement, the district is entitled to receive from the state reimbursement for past expenses and appropriate funding for future expenses for the provision of services to that student.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placed in virtual instruction under Subsection (b)(1) shall be counted toward the school district's average daily attendance in the same manner as other district students.</w:t>
      </w:r>
      <w:r>
        <w:rPr>
          <w:u w:val="single"/>
        </w:rPr>
        <w:t xml:space="preserve"> </w:t>
      </w:r>
      <w:r>
        <w:rPr>
          <w:u w:val="single"/>
        </w:rPr>
        <w:t xml:space="preserve"> </w:t>
      </w:r>
      <w:r>
        <w:rPr>
          <w:u w:val="single"/>
        </w:rPr>
        <w:t xml:space="preserve">The commissioner shall adopt rules providing for a method of taking attendance for students placed in virtual instruction under Subsection (b)(1).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