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658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immunity from civil and criminal liability for certain Department of Family and Protective Services contractors who participate in a child abuse or neglect investigation.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261.106(b), Family Code, is amended to read as follows:</w:t>
      </w:r>
    </w:p>
    <w:p w:rsidR="003F3435" w:rsidRDefault="0032493E">
      <w:pPr>
        <w:spacing w:line="480" w:lineRule="auto"/>
        <w:ind w:firstLine="720"/>
        <w:jc w:val="both"/>
      </w:pPr>
      <w:r>
        <w:t xml:space="preserve">(b)</w:t>
      </w:r>
      <w:r xml:space="preserve">
        <w:t> </w:t>
      </w:r>
      <w:r xml:space="preserve">
        <w:t> </w:t>
      </w:r>
      <w:r>
        <w:t xml:space="preserve">Immunity from civil and criminal liability extends to an authorized volunteer </w:t>
      </w:r>
      <w:r>
        <w:rPr>
          <w:u w:val="single"/>
        </w:rPr>
        <w:t xml:space="preserve">or contractor</w:t>
      </w:r>
      <w:r>
        <w:t xml:space="preserve"> of the department or a law enforcement officer who participates at the request of the department in an investigation of alleged or suspected abuse or neglect or in an action arising from an investigation if the person was acting in good faith and in the scope of the person's responsibilities.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