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88R4460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662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firearm transfers;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REGULATION OF FIREARM TRANSFERS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jc w:val="center"/>
      </w:pPr>
      <w:r>
        <w:rPr>
          <w:u w:val="single"/>
        </w:rPr>
        <w:t xml:space="preserve">SUBCHAPTER B. REGULATION OF PRIVATE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DOCUMENTATION OF PRIVATE FIREARM TRANSFERS.  (a)  The department by rule shall adopt a form to document the sale or other transfer of a firearm by a person who is not a licensed firearms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form adopted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driver's license or personal identification certificate number, if any, and contact information of the person selling or transferring the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driver's license or personal identification certificate number, if any, and contact information of the person to whom the firearm is being sold or transferred;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firearm and serial number of the firearm being sold or transferred;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necessary to document the sale or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DOCUMENTATION</w:t>
      </w:r>
      <w:r>
        <w:rPr>
          <w:u w:val="single"/>
        </w:rPr>
        <w:t xml:space="preserve"> </w:t>
      </w:r>
      <w:r>
        <w:rPr>
          <w:u w:val="single"/>
        </w:rPr>
        <w:t xml:space="preserve">REQUIREMENTS FOR PRIVATE FIREARM TRANSFERS.  (a)  Subject to Subsection (b), a person may not sell or otherwise transfer a firearm to another person unless the person is a licensed firearms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205.053, a person who is not a licensed firearms dealer may sell or otherwise transfer a firearm to another person only if the transferor: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documents the transfer on the form adopted by the department under Section 205.051;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the form described by Subdivision (1) to the department not later than the 30th day after the date of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this section commits an offense. 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VOLUME LIMITATIONS ON PRIVATE FIREARM TRANSFERS.  (a)  A person may not sell or otherwise transfer more than five firearms to one or more persons each year unless the transferor is a licensed firearms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this section commits an offense. An offense under this section is a Class C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of a firearm to a person by inheritance or bequest on the death of the owner of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 or other transfer of a firearm by the owner of the firearm if the transferor and the transferee are related within the third degree by consanguinity or within the second degree by affinity, as determined under Chapter 573, Government Code.</w:t>
      </w:r>
    </w:p>
    <w:p w:rsidR="003F3435" w:rsidRDefault="0032493E">
      <w:pPr>
        <w:spacing w:line="480" w:lineRule="auto"/>
        <w:jc w:val="center"/>
      </w:pPr>
      <w:r>
        <w:rPr>
          <w:u w:val="single"/>
        </w:rPr>
        <w:t xml:space="preserve">SUBCHAPTER C. NATIONAL INSTANT CRIMINAL BACKGROUND CHECK FOR PRIVATE TRANSFER OF FIREARMS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NATIONAL INSTANT CRIMINAL BACKGROUND CHECK REQUIRED FOR PRIVATE TRANSFER OF FIREARMS.  A person may not sell or otherwise transfer a firearm to another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licensed firearms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transfers the firearm to a licensed firearms dealer;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firearm is delivered to the person to whom the firearm is being transferred, the person transferring the firearm delivers the firearm to a licensed firearms dealer to retain possession of the firearm until the dealer conducts a national instant criminal background check in the manner required by 18 U.S.C. Section 922 and verifies that the proposed transferee may lawfully possess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205.102.</w:t>
      </w:r>
      <w:r>
        <w:rPr>
          <w:u w:val="single"/>
        </w:rPr>
        <w:t xml:space="preserve"> </w:t>
      </w:r>
      <w:r>
        <w:rPr>
          <w:u w:val="single"/>
        </w:rPr>
        <w:t xml:space="preserve"> </w:t>
      </w:r>
      <w:r>
        <w:rPr>
          <w:u w:val="single"/>
        </w:rPr>
        <w:t xml:space="preserve">DUTIES OF LICENSED FIREARMS DEALER.  (a)  If a licensed firearms dealer receives a firearm under Section 205.101(3), the dealer shall conduct a national instant criminal background check in the manner required by 18 U.S.C. Section 922 to verify that the person to whom the firearm is being transferred may lawfully possess the firearm.  The transfer may not occur until the dealer completes the background check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licensed firearms dealer determines that the proposed transferee may not lawfully possess a firearm, the dealer shall return the firearm to the person who delivered the firearm to the dealer under Section 205.101(3).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licensed firearms dealer to whom a firearm is delivered under Section 205.101(3) may collect a reasonable fee from the person who delivered the firearm to the dealer.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205.103.</w:t>
      </w:r>
      <w:r>
        <w:rPr>
          <w:u w:val="single"/>
        </w:rPr>
        <w:t xml:space="preserve"> </w:t>
      </w:r>
      <w:r>
        <w:rPr>
          <w:u w:val="single"/>
        </w:rPr>
        <w:t xml:space="preserve"> </w:t>
      </w:r>
      <w:r>
        <w:rPr>
          <w:u w:val="single"/>
        </w:rPr>
        <w:t xml:space="preserve">OFFENSE.  A person who violates this subchapter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