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88R3158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668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coin-operated machines.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2153.051, Occupations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 the comptroller shall disclose confidential information, including information contained in a license or registration certificate application, to a law enforcement agency that submits to the comptroller a written request for the information in connection with an investigation the agency is conducting. A peace officer is an appropriate official for purposes of the disclosure of information under Subsection (b)(5).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disclosed to a law enforcement agency in accordance with Subsection (c) remains confidential information under Section 2153.102, and the agency may use the information only for purposes of the investigation, and any related prosecution, for which the agency submitted the written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"law enforcement agency" means an agency of this state or an agency of a political subdivision of this state authorized by law to employ peace officers.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2153.305(a),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may refuse to issue or renew or may suspend or revoke a license or registration certificate</w:t>
      </w:r>
      <w:r>
        <w:rPr>
          <w:u w:val="single"/>
        </w:rPr>
        <w:t xml:space="preserve">, or a tax permit or license the comptroller issues to the applicant or registration certificate holder for a different tax or activity administered by the comptroller,</w:t>
      </w:r>
      <w:r>
        <w:t xml:space="preserve"> if:</w:t>
      </w:r>
    </w:p>
    <w:p w:rsidR="003F3435" w:rsidRDefault="0032493E">
      <w:pPr>
        <w:spacing w:line="480" w:lineRule="auto"/>
        <w:ind w:firstLine="1440"/>
        <w:jc w:val="both"/>
      </w:pPr>
      <w:r>
        <w:t xml:space="preserve">(1)</w:t>
      </w:r>
      <w:r xml:space="preserve">
        <w:t> </w:t>
      </w:r>
      <w:r xml:space="preserve">
        <w:t> </w:t>
      </w:r>
      <w:r>
        <w:t xml:space="preserve">the applicant or license or registration certificate holder 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the applicant or license or registration certificate holder fails to answer a question or makes a false statement in, or in connection with, an application;</w:t>
      </w:r>
    </w:p>
    <w:p w:rsidR="003F3435" w:rsidRDefault="0032493E">
      <w:pPr>
        <w:spacing w:line="480" w:lineRule="auto"/>
        <w:ind w:firstLine="1440"/>
        <w:jc w:val="both"/>
      </w:pPr>
      <w:r>
        <w:t xml:space="preserve">(3)</w:t>
      </w:r>
      <w:r xml:space="preserve">
        <w:t> </w:t>
      </w:r>
      <w:r xml:space="preserve">
        <w:t> </w:t>
      </w:r>
      <w:r>
        <w:t xml:space="preserve">the applicant or license or registration certificate holder extends or lends credit without notifying the commissioner of the person's intent to extend or lend credit [</w:t>
      </w:r>
      <w:r>
        <w:rPr>
          <w:strike/>
        </w:rPr>
        <w:t xml:space="preserve">as required by Section 2153.253</w:t>
      </w:r>
      <w:r>
        <w:t xml:space="preserve">];</w:t>
      </w:r>
    </w:p>
    <w:p w:rsidR="003F3435" w:rsidRDefault="0032493E">
      <w:pPr>
        <w:spacing w:line="480" w:lineRule="auto"/>
        <w:ind w:firstLine="1440"/>
        <w:jc w:val="both"/>
      </w:pPr>
      <w:r>
        <w:t xml:space="preserve">(4)</w:t>
      </w:r>
      <w:r xml:space="preserve">
        <w:t> </w:t>
      </w:r>
      <w:r xml:space="preserve">
        <w:t> </w:t>
      </w:r>
      <w:r>
        <w:t xml:space="preserve">the applicant or license or registration certificate holder uses coercion to accomplish a purpose or engage in conduct regulated by the comptroller; or</w:t>
      </w:r>
    </w:p>
    <w:p w:rsidR="003F3435" w:rsidRDefault="0032493E">
      <w:pPr>
        <w:spacing w:line="480" w:lineRule="auto"/>
        <w:ind w:firstLine="1440"/>
        <w:jc w:val="both"/>
      </w:pPr>
      <w:r>
        <w:t xml:space="preserve">(5)</w:t>
      </w:r>
      <w:r xml:space="preserve">
        <w:t> </w:t>
      </w:r>
      <w:r xml:space="preserve">
        <w:t> </w:t>
      </w:r>
      <w:r>
        <w:t xml:space="preserve">the applicant or license or registration certificate holder enters into a contract or agreement with the owner of the location of a coin-operated machine and the contract or agreement contains any kind of restriction relating to the location owner's right to purchase, agree to purchase, or use a product, commodity, or service that is not regulated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