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671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Eckhardt)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2023;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read first time and referred to Committee on Veteran Affairs;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veterans suicide prevention campaign.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434, Government Code, is amended by adding Section 434.0241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434.0241.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VETERANS SUICIDE PREVENTION CAMPAIGN.  (a)  The Texas Veterans Commission shall conduct a suicide prevention campaign to provide veterans with information regarding suicide prevention.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conducting the suicide prevention campaign, the commission shall establish a dedicated Internet website to provide veterans with information regarding suicide prevention.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collaborate with, and may contract with, community-based, nonprofit, or private organizations to conduct the suicide prevention campaign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solicit and accept gifts and grants for purposes of conducting the suicide prevention campaign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2024, the Texas Veterans Commission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the veterans suicide prevention campaign as required under Section 434.0241, Government Code, as added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adopt any rules necessary to implement the campaign.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