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88R695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672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child abuse and the prosecution of the criminal offense of abandoning or endangering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71.004, Family Code, is amended to read as follows:</w:t>
      </w: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FAMILY VIOLENCE.</w:t>
      </w:r>
      <w:r xml:space="preserve">
        <w:t> </w:t>
      </w:r>
      <w:r xml:space="preserve">
        <w:t> </w:t>
      </w:r>
      <w:r>
        <w:t xml:space="preserve">"Family violence" means:</w:t>
      </w:r>
    </w:p>
    <w:p w:rsidR="003F3435" w:rsidRDefault="0032493E">
      <w:pPr>
        <w:spacing w:line="480" w:lineRule="auto"/>
        <w:ind w:firstLine="1440"/>
        <w:jc w:val="both"/>
      </w:pPr>
      <w:r>
        <w:t xml:space="preserve">(1)</w:t>
      </w:r>
      <w:r xml:space="preserve">
        <w:t> </w:t>
      </w:r>
      <w:r xml:space="preserve">
        <w:t> </w:t>
      </w:r>
      <w:r>
        <w:t xml:space="preserve">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measures to protect oneself;</w:t>
      </w:r>
    </w:p>
    <w:p w:rsidR="003F3435" w:rsidRDefault="0032493E">
      <w:pPr>
        <w:spacing w:line="480" w:lineRule="auto"/>
        <w:ind w:firstLine="1440"/>
        <w:jc w:val="both"/>
      </w:pPr>
      <w:r>
        <w:t xml:space="preserve">(2)</w:t>
      </w:r>
      <w:r xml:space="preserve">
        <w:t> </w:t>
      </w:r>
      <w:r xml:space="preserve">
        <w:t> </w:t>
      </w:r>
      <w:r>
        <w:t xml:space="preserve">abuse, as that term is defined by Sections </w:t>
      </w:r>
      <w:r>
        <w:rPr>
          <w:u w:val="single"/>
        </w:rPr>
        <w:t xml:space="preserve">261.001(1)(A)(iii), (v), (vii), (viii), (ix), (x), (xi), and (xiii)</w:t>
      </w:r>
      <w:r>
        <w:t xml:space="preserve"> [</w:t>
      </w:r>
      <w:r>
        <w:rPr>
          <w:strike/>
        </w:rPr>
        <w:t xml:space="preserve">261.001(1)(C), (E), (G), (H), (I), (J), (K), and (M)</w:t>
      </w:r>
      <w:r>
        <w:t xml:space="preserve">], by a member of a family or household toward a child of the family or household; or</w:t>
      </w:r>
    </w:p>
    <w:p w:rsidR="003F3435" w:rsidRDefault="0032493E">
      <w:pPr>
        <w:spacing w:line="480" w:lineRule="auto"/>
        <w:ind w:firstLine="1440"/>
        <w:jc w:val="both"/>
      </w:pPr>
      <w:r>
        <w:t xml:space="preserve">(3)</w:t>
      </w:r>
      <w:r xml:space="preserve">
        <w:t> </w:t>
      </w:r>
      <w:r xml:space="preserve">
        <w:t> </w:t>
      </w:r>
      <w:r>
        <w:t xml:space="preserve">dating violence, as that term is defined by Section 71.0021.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261.001, Family Code, is amended by amending Subdivision (1) and adding Subdivision (3-a) to read as follows:</w:t>
      </w:r>
    </w:p>
    <w:p w:rsidR="003F3435" w:rsidRDefault="0032493E">
      <w:pPr>
        <w:spacing w:line="480" w:lineRule="auto"/>
        <w:ind w:firstLine="1440"/>
        <w:jc w:val="both"/>
      </w:pPr>
      <w:r>
        <w:t xml:space="preserve">(1)</w:t>
      </w:r>
      <w:r xml:space="preserve">
        <w:t> </w:t>
      </w:r>
      <w:r xml:space="preserve">
        <w:t> </w:t>
      </w:r>
      <w:r>
        <w:t xml:space="preserve">"Abuse"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includes the following acts or omissions by a person: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21.02, Penal Code, indecency with a child under Section 21.11, Penal Code, sexual assault under Section 22.011, Penal Code, or aggravated sexual assault under Section 22.021, Penal Code;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failure to make a reasonable effort to prevent sexual conduct harmful to a child;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compelling or encouraging the child to engage in sexual conduct as defined by Section 43.01, Penal Code, including compelling or encouraging the child in a manner that constitutes an offense of trafficking of persons under Section 20A.02(a)(7) or (8), Penal Code, solicitation of prostitution under Section 43.021, Penal Code, or compelling prostitution under Section 43.05(a)(2), Penal Code;</w:t>
      </w:r>
    </w:p>
    <w:p w:rsidR="003F3435" w:rsidRDefault="0032493E">
      <w:pPr>
        <w:spacing w:line="480" w:lineRule="auto"/>
        <w:ind w:firstLine="2880"/>
        <w:jc w:val="both"/>
      </w:pPr>
      <w:r>
        <w:rPr>
          <w:u w:val="single"/>
        </w:rPr>
        <w:t xml:space="preserve">(viii)</w:t>
      </w:r>
      <w:r xml:space="preserve">
        <w:t> </w:t>
      </w:r>
      <w:r>
        <w:t xml:space="preserve">[</w:t>
      </w:r>
      <w:r>
        <w:rPr>
          <w:strike/>
        </w:rPr>
        <w:t xml:space="preserve">(H)</w:t>
      </w:r>
      <w:r>
        <w:t xml:space="preserve">]</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rsidR="003F3435" w:rsidRDefault="0032493E">
      <w:pPr>
        <w:spacing w:line="480" w:lineRule="auto"/>
        <w:ind w:firstLine="2880"/>
        <w:jc w:val="both"/>
      </w:pPr>
      <w:r>
        <w:rPr>
          <w:u w:val="single"/>
        </w:rPr>
        <w:t xml:space="preserve">(ix)</w:t>
      </w:r>
      <w:r xml:space="preserve">
        <w:t> </w:t>
      </w:r>
      <w:r>
        <w:t xml:space="preserve">[</w:t>
      </w:r>
      <w:r>
        <w:rPr>
          <w:strike/>
        </w:rPr>
        <w:t xml:space="preserve">(I)</w:t>
      </w:r>
      <w:r>
        <w:t xml:space="preserve">]</w:t>
      </w:r>
      <w:r xml:space="preserve">
        <w:t> </w:t>
      </w:r>
      <w:r xml:space="preserve">
        <w:t> </w:t>
      </w:r>
      <w:r>
        <w:t xml:space="preserve">the current use by a person of a controlled substance as defined by Chapter 481, Health and Safety Code, in a manner or to the extent that the use results in physical, mental, or emotional injury to a child;</w:t>
      </w:r>
    </w:p>
    <w:p w:rsidR="003F3435" w:rsidRDefault="0032493E">
      <w:pPr>
        <w:spacing w:line="480" w:lineRule="auto"/>
        <w:ind w:firstLine="2880"/>
        <w:jc w:val="both"/>
      </w:pPr>
      <w:r>
        <w:rPr>
          <w:u w:val="single"/>
        </w:rPr>
        <w:t xml:space="preserve">(x)</w:t>
      </w:r>
      <w:r xml:space="preserve">
        <w:t> </w:t>
      </w:r>
      <w:r>
        <w:t xml:space="preserve">[</w:t>
      </w:r>
      <w:r>
        <w:rPr>
          <w:strike/>
        </w:rPr>
        <w:t xml:space="preserve">(J)</w:t>
      </w:r>
      <w:r>
        <w:t xml:space="preserve">]</w:t>
      </w:r>
      <w:r xml:space="preserve">
        <w:t> </w:t>
      </w:r>
      <w:r xml:space="preserve">
        <w:t> </w:t>
      </w:r>
      <w:r>
        <w:t xml:space="preserve">causing, expressly permitting, or encouraging a child to use a controlled substance as defined by Chapter 481, Health and Safety Code;</w:t>
      </w:r>
    </w:p>
    <w:p w:rsidR="003F3435" w:rsidRDefault="0032493E">
      <w:pPr>
        <w:spacing w:line="480" w:lineRule="auto"/>
        <w:ind w:firstLine="2880"/>
        <w:jc w:val="both"/>
      </w:pPr>
      <w:r>
        <w:rPr>
          <w:u w:val="single"/>
        </w:rPr>
        <w:t xml:space="preserve">(xi)</w:t>
      </w:r>
      <w:r xml:space="preserve">
        <w:t> </w:t>
      </w:r>
      <w:r>
        <w:t xml:space="preserve">[</w:t>
      </w:r>
      <w:r>
        <w:rPr>
          <w:strike/>
        </w:rPr>
        <w:t xml:space="preserve">(K)</w:t>
      </w:r>
      <w:r>
        <w:t xml:space="preserve">]</w:t>
      </w:r>
      <w:r xml:space="preserve">
        <w:t> </w:t>
      </w:r>
      <w:r xml:space="preserve">
        <w:t> </w:t>
      </w:r>
      <w:r>
        <w:t xml:space="preserve">causing, permitting, encouraging, engaging in, or allowing a sexual performance by a child as defined by Section 43.25, Penal Code;</w:t>
      </w:r>
    </w:p>
    <w:p w:rsidR="003F3435" w:rsidRDefault="0032493E">
      <w:pPr>
        <w:spacing w:line="480" w:lineRule="auto"/>
        <w:ind w:firstLine="2880"/>
        <w:jc w:val="both"/>
      </w:pPr>
      <w:r>
        <w:rPr>
          <w:u w:val="single"/>
        </w:rPr>
        <w:t xml:space="preserve">(xii)</w:t>
      </w:r>
      <w:r xml:space="preserve">
        <w:t> </w:t>
      </w:r>
      <w:r>
        <w:t xml:space="preserve">[</w:t>
      </w:r>
      <w:r>
        <w:rPr>
          <w:strike/>
        </w:rPr>
        <w:t xml:space="preserve">(L)</w:t>
      </w:r>
      <w:r>
        <w:t xml:space="preserve">]</w:t>
      </w:r>
      <w:r xml:space="preserve">
        <w:t> </w:t>
      </w:r>
      <w:r xml:space="preserve">
        <w:t> </w:t>
      </w:r>
      <w:r>
        <w:t xml:space="preserve">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 [</w:t>
      </w:r>
      <w:r>
        <w:rPr>
          <w:strike/>
        </w:rPr>
        <w:t xml:space="preserve">or</w:t>
      </w:r>
      <w:r>
        <w:t xml:space="preserve">]</w:t>
      </w:r>
    </w:p>
    <w:p w:rsidR="003F3435" w:rsidRDefault="0032493E">
      <w:pPr>
        <w:spacing w:line="480" w:lineRule="auto"/>
        <w:ind w:firstLine="2880"/>
        <w:jc w:val="both"/>
      </w:pPr>
      <w:r>
        <w:rPr>
          <w:u w:val="single"/>
        </w:rPr>
        <w:t xml:space="preserve">(xiii)</w:t>
      </w:r>
      <w:r xml:space="preserve">
        <w:t> </w:t>
      </w:r>
      <w:r>
        <w:t xml:space="preserve">[</w:t>
      </w:r>
      <w:r>
        <w:rPr>
          <w:strike/>
        </w:rPr>
        <w:t xml:space="preserve">(M)</w:t>
      </w:r>
      <w:r>
        <w:t xml:space="preserve">]</w:t>
      </w:r>
      <w:r xml:space="preserve">
        <w:t> </w:t>
      </w:r>
      <w:r xml:space="preserve">
        <w:t> </w:t>
      </w:r>
      <w:r>
        <w:t xml:space="preserve">forcing or coercing a child to enter into a marriage</w:t>
      </w:r>
      <w:r>
        <w:rPr>
          <w:u w:val="single"/>
        </w:rPr>
        <w:t xml:space="preserve">;</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administering or supplying, or consenting to or assisting in the administration or supply of, a puberty suppression prescription drug or cross-sex hormone to a child, other than an intersex child, for the purpose of gender transitioning or gender reassignment; or</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performing or consenting to the performance of surgery or another medical procedure on a child, other than an intersex child, for the purpose of gender transitioning or gender reassignment;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an act described by Subparagraph (xiv) if the act is the dispensing or delivery of a drug in accordance with Subtitle J, Title 3, Occupations Code, by a person licensed under that subtitle</w:t>
      </w:r>
      <w:r>
        <w:t xml:space="preserv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"Intersex child" means a child who is younger than 18 years of age 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inborn chromosomal, gonadal, genital, or endocrine characteristics, or a combination of those characteristics, that are not suited to the typical definition of male or female or are atypical for the determined sex of the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considered by a medical professional to have inborn chromosomal, gonadal, genital, or endocrine characteristics that are ambiguous or atypical for the determined sex of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22.041, Penal Code, is amended by amending Subsections (a) and (c-1) and adding Subsections (c-2) and (c-3)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"Abandon"</w:t>
      </w:r>
      <w:r>
        <w:t xml:space="preserve">[</w:t>
      </w:r>
      <w:r>
        <w:rPr>
          <w:strike/>
        </w:rPr>
        <w:t xml:space="preserve">, "abandon"</w:t>
      </w:r>
      <w:r>
        <w:t xml:space="preserve">] means to leave a child in any place without providing reasonable and necessary care for the child, under circumstances under which no reasonable, similarly situated adult would leave a child of that age and 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"Intersex child" means a child who is younger than 15 years of age 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inborn chromosomal, gonadal, genital, or endocrine characteristics, or a combination of those characteristics, that are not suited to the typical definition of male or female or are atypical for the determined sex of the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considered by a medical professional to have inborn chromosomal, gonadal, genital, or endocrine characteristics that are ambiguous or atypical for the determined sex of the child.</w:t>
      </w:r>
    </w:p>
    <w:p w:rsidR="003F3435" w:rsidRDefault="0032493E">
      <w:pPr>
        <w:spacing w:line="480" w:lineRule="auto"/>
        <w:ind w:firstLine="720"/>
        <w:jc w:val="both"/>
      </w:pPr>
      <w:r>
        <w:t xml:space="preserve">(c-1)</w:t>
      </w:r>
      <w:r xml:space="preserve">
        <w:t> </w:t>
      </w:r>
      <w:r xml:space="preserve">
        <w:t> </w:t>
      </w:r>
      <w:r>
        <w:t xml:space="preserve">For purposes of Subsection (c), it is presumed that a person engaged in conduct that places a child in imminent danger of death, bodily injury, or physical or mental impairment if:</w:t>
      </w:r>
    </w:p>
    <w:p w:rsidR="003F3435" w:rsidRDefault="0032493E">
      <w:pPr>
        <w:spacing w:line="480" w:lineRule="auto"/>
        <w:ind w:firstLine="1440"/>
        <w:jc w:val="both"/>
      </w:pPr>
      <w:r>
        <w:t xml:space="preserve">(1)</w:t>
      </w:r>
      <w:r xml:space="preserve">
        <w:t> </w:t>
      </w:r>
      <w:r xml:space="preserve">
        <w:t> </w:t>
      </w:r>
      <w:r>
        <w:t xml:space="preserve">the person manufactured, possessed, or in any way introduced into the body of any person the controlled substance methamphetamine in the presence of the child;</w:t>
      </w:r>
    </w:p>
    <w:p w:rsidR="003F3435" w:rsidRDefault="0032493E">
      <w:pPr>
        <w:spacing w:line="480" w:lineRule="auto"/>
        <w:ind w:firstLine="1440"/>
        <w:jc w:val="both"/>
      </w:pPr>
      <w:r>
        <w:t xml:space="preserve">(2)</w:t>
      </w:r>
      <w:r xml:space="preserve">
        <w:t> </w:t>
      </w:r>
      <w:r xml:space="preserve">
        <w:t> </w:t>
      </w:r>
      <w:r>
        <w:t xml:space="preserve">the person's conduct related to the proximity or accessibility of the controlled substance methamphetamine to the child and an analysis of a specimen of the child's blood, urine, or other bodily substance indicates the presence of methamphetamine in the child's body;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person injected, ingested, inhaled, or otherwise introduced a controlled substance listed in Penalty Group 1, Section 481.102, Health and Safety Code, or Penalty Group 1-B, Section 481.1022, Health and Safety Code, into the human body when the person was not in lawful possession of the substance as defined by Section 481.002(24) of that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administers or supplies, or consents to or assists in the administering or supplying of, a puberty suppression prescription drug or cross-sex hormone to a child for the purpose of gender transitioning or gender reassignment;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 performs or consents to the performance of surgery or another medical procedure on a child for the purpose of gender transitioning or gender reassignment</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presumptions provided by Subsections (c-1)(4) and (5) do not apply to conduct described by those subsections that involves an intersex child.</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presumption provided by Subsection (c-1)(4) does not apply to conduct described by that subsection if the conduct is the dispensing or delivery of a drug in accordance with Subtitle J, Title 3, Occupations Code, by a person licensed under that subtitle.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