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88R23708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 Cole</w:t>
      </w:r>
      <w:r xml:space="preserve">
        <w:tab wTab="150" tlc="none" cTlc="0"/>
      </w:r>
      <w:r>
        <w:t xml:space="preserve">H.B.</w:t>
      </w:r>
      <w:r xml:space="preserve">
        <w:t> </w:t>
      </w:r>
      <w:r>
        <w:t xml:space="preserve">No.</w:t>
      </w:r>
      <w:r xml:space="preserve">
        <w:t> </w:t>
      </w:r>
      <w:r>
        <w:t xml:space="preserve">673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673:</w:t>
      </w: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C.S.H.B.</w:t>
      </w:r>
      <w:r xml:space="preserve">
        <w:t> </w:t>
      </w:r>
      <w:r>
        <w:t xml:space="preserve">No.</w:t>
      </w:r>
      <w:r xml:space="preserve">
        <w:t> </w:t>
      </w:r>
      <w:r>
        <w:t xml:space="preserve">673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and opportunity to cure that must be given before filing an eviction suit.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24.005, Property Code, is amended to read as follows:</w:t>
      </w:r>
    </w:p>
    <w:p w:rsidR="003F3435" w:rsidRDefault="0032493E">
      <w:pPr>
        <w:spacing w:line="480" w:lineRule="auto"/>
        <w:ind w:firstLine="720"/>
        <w:jc w:val="both"/>
      </w:pPr>
      <w:r>
        <w:t xml:space="preserve">Sec.</w:t>
      </w:r>
      <w:r xml:space="preserve">
        <w:t> </w:t>
      </w:r>
      <w:r>
        <w:t xml:space="preserve">24.005.</w:t>
      </w:r>
      <w:r xml:space="preserve">
        <w:t> </w:t>
      </w:r>
      <w:r xml:space="preserve">
        <w:t> </w:t>
      </w:r>
      <w:r>
        <w:t xml:space="preserve">NOTICE TO </w:t>
      </w:r>
      <w:r>
        <w:rPr>
          <w:u w:val="single"/>
        </w:rPr>
        <w:t xml:space="preserve">CURE DEFAULT; NOTICE TO</w:t>
      </w:r>
      <w:r>
        <w:t xml:space="preserve"> VACATE PRIOR TO FILING EVICTION SUIT.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24.005, Property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Subsections (a-1) and (a-2), if</w:t>
      </w:r>
      <w:r>
        <w:t xml:space="preserve"> [</w:t>
      </w:r>
      <w:r>
        <w:rPr>
          <w:strike/>
        </w:rPr>
        <w:t xml:space="preserve">If</w:t>
      </w:r>
      <w:r>
        <w:t xml:space="preserve">] the occupant is a tenant under a written lease or oral rental agreement, the landlord must give a tenant who defaults or holds over beyond the end of the rental term or renewal period at least three days' written notice to vacate the premises before the landlord files a forcible detainer suit[</w:t>
      </w:r>
      <w:r>
        <w:rPr>
          <w:strike/>
        </w:rPr>
        <w:t xml:space="preserve">, unless the parties have contracted for a shorter or longer notice period in a written lease or agreement</w:t>
      </w:r>
      <w:r>
        <w:t xml:space="preserve">].  A landlord who files a forcible detainer suit on grounds that the tenant is holding over beyond the end of the rental term or renewal period must also comply with the tenancy termination requirements of Section 91.001.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landlord must give a residential tenant who defaults for nonpayment of rent written notice demanding payment of delinquent rent and an opportunity to cure the default by paying the delinquent rent, except as otherwise provided by this subsection.  If the tenant fails to cure the default on or before the fifth calendar day after the delivery of the written notice under this subsection, the landlord may issue the notice to vacate under Subsection (a).  The written notice under this subsection must be given in accordance with Subsection (f) or (f-1) and must state that if the default is not cured within five calendar days, the landlord may give notice to vacate.  Unless the lease provides otherwise, a tenant may not cure a default for nonpayment of rent under this subsection more than one time in any 12-month period.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landlord must give a residential tenant who defaults for a reason other than nonpayment of rent written notice specifying the default and an opportunity to cure the default, if the reason for the default can be cured.  If the tenant fails to cure the default on or before the fifth calendar day after the delivery of the written notice under this subsection, the landlord may issue the notice to vacate under Subsection (a).  The written notice under this subsection must be given in accordance with Subsection (f) or (f-1) and must state that if the default is not cured within five calendar days, the landlord may give notice to vacate.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to Section 24.005, Property Code, apply only to a notice to vacate given on or after the effective date of this Act.  A notice to vacate given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