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88R3192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and opportunity to cure that must be given before filing an eviction suit.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24.005, Property Code, is amended to read as follows:</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w:t>
      </w:r>
      <w:r>
        <w:rPr>
          <w:u w:val="single"/>
        </w:rPr>
        <w:t xml:space="preserve">CURE DEFAULT; NOTICE TO</w:t>
      </w:r>
      <w:r>
        <w:t xml:space="preserve"> VACATE PRIOR TO FILING EVICTION SUIT.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 Property Code, is amended by amending Subsections (a) and (f)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Subsections (a-1) and (a-2), if</w:t>
      </w:r>
      <w:r>
        <w:t xml:space="preserve"> [</w:t>
      </w:r>
      <w:r>
        <w:rPr>
          <w:strike/>
        </w:rPr>
        <w:t xml:space="preserve">If</w:t>
      </w:r>
      <w:r>
        <w:t xml:space="preserve">]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w:t>
      </w:r>
      <w:r>
        <w:rPr>
          <w:strike/>
        </w:rPr>
        <w:t xml:space="preserve">, unless the parties have contracted for a shorter or longer notice period in a written lease or agreement</w:t>
      </w:r>
      <w:r>
        <w:t xml:space="preserve">].  A landlord who files a forcible detainer suit on grounds that the tenant is holding over beyond the end of the rental term or renewal period must also comply with the tenancy termination requirements of Section 91.001.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landlord must give a residential tenant who defaults for nonpayment of rent written notice demanding payment of delinquent rent and an opportunity to cure the default by paying the delinquent rent.  If the tenant fails to cure the default on or before the seventh day after the delivery of the written notice under this subsection, the landlord may issue the notice to vacate under Subsection (a).  The written notice under this subsection must be given in accordance with Subsection (f) or (f-1) and must state that if the default is not cured within seven days, the landlord may give notice to vacate.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landlord must give a residential tenant who defaults for a reason other than nonpayment of rent written notice specifying the default and an opportunity to cure the default, if the reason for the default can be cured.  If the tenant fails to cure the default on or before the seventh day after the delivery of the written notice under this subsection, the landlord may issue the notice to vacate under Subsection (a).  The written notice under this subsection must be given in accordance with Subsection (f) or (f-1) and must state that if the default is not cured within seven days, the landlord may give notice to vacate.</w:t>
      </w:r>
    </w:p>
    <w:p w:rsidR="003F3435" w:rsidRDefault="0032493E">
      <w:pPr>
        <w:spacing w:line="480" w:lineRule="auto"/>
        <w:ind w:firstLine="720"/>
        <w:jc w:val="both"/>
      </w:pPr>
      <w:r>
        <w:t xml:space="preserve">(f)</w:t>
      </w:r>
      <w:r xml:space="preserve">
        <w:t> </w:t>
      </w:r>
      <w:r xml:space="preserve">
        <w:t> </w:t>
      </w:r>
      <w:r>
        <w:t xml:space="preserve">Except as provided by Subsection (f-1), the notice to vacate shall be given in person or by mail at the premises in question.  Notice in person may be by personal delivery to the tenant or any person residing at the premises who is 16 years of age or older or personal delivery to the premises and affixing the notice to the inside of the main entry door.  Notice by mail </w:t>
      </w:r>
      <w:r>
        <w:rPr>
          <w:u w:val="single"/>
        </w:rPr>
        <w:t xml:space="preserve">must</w:t>
      </w:r>
      <w:r>
        <w:t xml:space="preserve"> </w:t>
      </w:r>
      <w:r>
        <w:t xml:space="preserve"> [</w:t>
      </w:r>
      <w:r>
        <w:rPr>
          <w:strike/>
        </w:rPr>
        <w:t xml:space="preserve">may</w:t>
      </w:r>
      <w:r>
        <w:t xml:space="preserve">] be by [</w:t>
      </w:r>
      <w:r>
        <w:rPr>
          <w:strike/>
        </w:rPr>
        <w:t xml:space="preserve">regular mail, by registered mail, or by</w:t>
      </w:r>
      <w:r>
        <w:t xml:space="preserve">] certified mail, return receipt requested, to the premises in question.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to Section 24.005, Property Code, apply only to a notice to vacate given on or after the effective date of this Act.  A notice to vacate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