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88R22444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Cole, et al.</w:t>
      </w:r>
      <w:r xml:space="preserve">
        <w:tab wTab="150" tlc="none" cTlc="0"/>
      </w:r>
      <w:r>
        <w:t xml:space="preserve">H.B.</w:t>
      </w:r>
      <w:r xml:space="preserve">
        <w:t> </w:t>
      </w:r>
      <w:r>
        <w:t xml:space="preserve">No.</w:t>
      </w:r>
      <w:r xml:space="preserve">
        <w:t> </w:t>
      </w:r>
      <w:r>
        <w:t xml:space="preserve">677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677:</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677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highway toll exemption for public school buses.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372, Transportation Code, is amended by adding Section 372.059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372.059.</w:t>
      </w:r>
      <w:r>
        <w:rPr>
          <w:u w:val="single"/>
        </w:rPr>
        <w:t xml:space="preserve"> </w:t>
      </w:r>
      <w:r>
        <w:rPr>
          <w:u w:val="single"/>
        </w:rPr>
        <w:t xml:space="preserve"> </w:t>
      </w:r>
      <w:r>
        <w:rPr>
          <w:u w:val="single"/>
        </w:rPr>
        <w:t xml:space="preserve">PUBLIC SCHOOL BUSES.  (a) </w:t>
      </w:r>
      <w:r>
        <w:rPr>
          <w:u w:val="single"/>
        </w:rPr>
        <w:t xml:space="preserve"> </w:t>
      </w:r>
      <w:r>
        <w:rPr>
          <w:u w:val="single"/>
        </w:rPr>
        <w:t xml:space="preserve">A toll project entity may not require a school bus exempt from registration fees under Section 502.453 to pay a toll for use of a toll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the ability of a toll project entity to adopt policies or rules regarding the use of a toll project or managed lane of the entity, including policies or rules prohibiting the use of the toll project or managed lane by vehicles unable to maintain minimum designated travel speeds.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