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679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workers' compensation insurance experience modifier values in soliciting and awarding  public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VOIDABLE CONTRACT PROVISION: </w:t>
      </w:r>
      <w:r>
        <w:rPr>
          <w:u w:val="single"/>
        </w:rPr>
        <w:t xml:space="preserve"> </w:t>
      </w:r>
      <w:r>
        <w:rPr>
          <w:u w:val="single"/>
        </w:rPr>
        <w:t xml:space="preserve">EXPERIENCE MODIFIER.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means a contract awarded by a governmental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construction contract, as defined by Section 272.0001, Business &amp; Commerce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 for constructing, altering, or repairing a public building or carrying out or completing any public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solicitation"</w:t>
      </w:r>
      <w:r>
        <w:rPr>
          <w:u w:val="single"/>
        </w:rPr>
        <w:t xml:space="preserve"> </w:t>
      </w:r>
      <w:r>
        <w:rPr>
          <w:u w:val="single"/>
        </w:rPr>
        <w:t xml:space="preserve">means a request for bids, proposals, qualifications, offers, or other responses from potential contractors under a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"Experience modifier" means a factor expressed as a value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assigned to an employer seeking to purchase a workers' compensation insurance policy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affects the premium amount for the policy;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based on the employer's past loss experience.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in the executive branch of state government created by the state constitution or a state statute, including 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a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or an agreement collateral to or affecting a contract may not require the contractor to have a specified experience modifier.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solicitation, an offer, a contract, or an agreement collateral to or affecting a contract that violates Subsection (b) or (c) is voidable as against public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2252.909, Government Code, as added by this Act, applies only to a contract for which a governmental entity first advertises or otherwise solicits offers on or after the effective date of this Act.</w:t>
      </w:r>
      <w:r xml:space="preserve">
        <w:t> </w:t>
      </w:r>
      <w:r xml:space="preserve">
        <w:t> </w:t>
      </w:r>
      <w:r>
        <w:t xml:space="preserve">A contract for which a governmental entity first advertised or otherwise solicited offers before the effective date of this Act is governed by the law in effect on the date the governmental entity first advertised or otherwise solicited offers,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679 was passed by the House on April 25, 2023, by the following vote:</w:t>
      </w:r>
      <w:r xml:space="preserve">
        <w:t> </w:t>
      </w:r>
      <w:r xml:space="preserve">
        <w:t> </w:t>
      </w:r>
      <w:r>
        <w:t xml:space="preserve">Yeas 141, Nays 5, 1 present, not voting; and that the House concurred in Senate amendments to H.B. No. 679 on May 19, 2023, by the following vote:</w:t>
      </w:r>
      <w:r xml:space="preserve">
        <w:t> </w:t>
      </w:r>
      <w:r xml:space="preserve">
        <w:t> </w:t>
      </w:r>
      <w:r>
        <w:t xml:space="preserve">Yeas 133, Nays 8,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679 was passed by the Senate, with amendments,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