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697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13,</w:t>
      </w:r>
      <w:r xml:space="preserve">
        <w:t> </w:t>
      </w:r>
      <w:r>
        <w:t xml:space="preserve">2023; April</w:t>
      </w:r>
      <w:r xml:space="preserve">
        <w:t> </w:t>
      </w:r>
      <w:r>
        <w:t xml:space="preserve">19,</w:t>
      </w:r>
      <w:r xml:space="preserve">
        <w:t> </w:t>
      </w:r>
      <w:r>
        <w:t xml:space="preserve">2023, read first time and referred to Committee on Business &amp; Commerce; May</w:t>
      </w:r>
      <w:r xml:space="preserve">
        <w:t> </w:t>
      </w:r>
      <w:r>
        <w:t xml:space="preserve">10,</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697</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seller's disclosures regarding fuel gas piping in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rPr>
                <w:u w:val="single"/>
              </w:rPr>
              <w:t xml:space="preserve">__ Fuel Gas Piping:</w:t>
            </w:r>
          </w:p>
        </w:tc>
        <w:tc>
          <w:p/>
        </w:tc>
        <w:tc>
          <w:p>
            <w:r>
              <w:rPr>
                <w:u w:val="single"/>
              </w:rPr>
              <w:t xml:space="preserve">__ Black Iron Pipe</w:t>
            </w:r>
          </w:p>
        </w:tc>
        <w:tc>
          <w:p/>
        </w:tc>
        <w:tc>
          <w:p>
            <w:r>
              <w:rPr>
                <w:u w:val="single"/>
              </w:rPr>
              <w:t xml:space="preserve">__ Corrugated</w:t>
            </w:r>
          </w:p>
        </w:tc>
      </w:tr>
      <w:tr>
        <w:tc>
          <w:p/>
        </w:tc>
        <w:tc>
          <w:p/>
        </w:tc>
        <w:tc>
          <w:p>
            <w:r>
              <w:rPr>
                <w:u w:val="single"/>
              </w:rPr>
              <w:t xml:space="preserve">__ Copper</w:t>
            </w:r>
          </w:p>
        </w:tc>
        <w:tc>
          <w:p/>
        </w:tc>
        <w:tc>
          <w:p>
            <w:r xml:space="preserve">
              <w:t> </w:t>
            </w:r>
            <w:r xml:space="preserve">
              <w:t> </w:t>
            </w:r>
            <w:r>
              <w:t xml:space="preserve"> </w:t>
            </w:r>
            <w:r>
              <w:rPr>
                <w:u w:val="single"/>
              </w:rPr>
              <w:t xml:space="preserve">Stainless Steel</w:t>
            </w:r>
          </w:p>
        </w:tc>
      </w:tr>
      <w:tr>
        <w:tc>
          <w:p/>
        </w:tc>
        <w:tc>
          <w:p/>
        </w:tc>
        <w:tc>
          <w:p/>
        </w:tc>
        <w:tc>
          <w:p/>
        </w:tc>
        <w:tc>
          <w:p>
            <w:r xml:space="preserve">
              <w:t> </w:t>
            </w:r>
            <w:r xml:space="preserve">
              <w:t> </w:t>
            </w:r>
            <w:r>
              <w:t xml:space="preserve"> </w:t>
            </w:r>
            <w:r>
              <w:rPr>
                <w:u w:val="single"/>
              </w:rP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r>
              <w:t xml:space="preserve"> </w:t>
            </w:r>
          </w:p>
        </w:tc>
      </w:tr>
      <w:tr>
        <w:tc>
          <w:p/>
        </w:tc>
        <w:tc>
          <w:p/>
        </w:tc>
        <w:tc>
          <w:p>
            <w:r>
              <w:t xml:space="preserve">__ Unplatted Easements</w:t>
            </w:r>
          </w:p>
        </w:tc>
      </w:tr>
      <w:tr>
        <w:tc>
          <w:p>
            <w:r>
              <w:t xml:space="preserve"> </w:t>
            </w:r>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5.008(b), Property Code, as amended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