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699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determining the student enrollment of a public school that allows non-enrolled students to participate in University Interscholastic League activities for purposes of assigning a University Interscholastic League classification.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33.0832, Education Code, as added by Chapter 996 (H.B. 547), Acts of the 87th Legislature, Regular Session, 2021, is amended by adding Subsection (c-1)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When assigning league classification to a public school  based on student enrollment, the league must use the same student enrollment calculation formula for a school that allows a non-enrolled student to participate in a league activity as provided by Subsection (c) as the formula used to determine the student enrollment of a school that does not allow a non-enrolled student to participate in the league activity.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699 was passed by the House on April 13, 2023, by the following vote:</w:t>
      </w:r>
      <w:r xml:space="preserve">
        <w:t> </w:t>
      </w:r>
      <w:r xml:space="preserve">
        <w:t> </w:t>
      </w:r>
      <w:r>
        <w:t xml:space="preserve">Yeas 130, Nays 17,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699 was passed by the Senate on May 21, 2023, by the following vote:</w:t>
      </w:r>
      <w:r xml:space="preserve">
        <w:t> </w:t>
      </w:r>
      <w:r xml:space="preserve">
        <w:t> </w:t>
      </w:r>
      <w:r>
        <w:t xml:space="preserve">Yeas 26, Nays 5.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699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